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14C40" w14:textId="77777777" w:rsidR="00A90E37" w:rsidRDefault="00A90E37" w:rsidP="00A90E37">
      <w:pPr>
        <w:pBdr>
          <w:bottom w:val="single" w:sz="4" w:space="1" w:color="auto"/>
        </w:pBdr>
        <w:spacing w:after="0" w:line="240" w:lineRule="auto"/>
        <w:rPr>
          <w:b/>
        </w:rPr>
      </w:pPr>
      <w:r>
        <w:rPr>
          <w:b/>
        </w:rPr>
        <w:t>A</w:t>
      </w:r>
      <w:r w:rsidRPr="00A72AD0">
        <w:rPr>
          <w:b/>
        </w:rPr>
        <w:t>mendment request</w:t>
      </w:r>
      <w:r>
        <w:rPr>
          <w:b/>
        </w:rPr>
        <w:t xml:space="preserve"> information</w:t>
      </w:r>
      <w:r>
        <w:rPr>
          <w:rStyle w:val="FootnoteReference"/>
          <w:b/>
        </w:rPr>
        <w:footnoteReference w:id="1"/>
      </w:r>
    </w:p>
    <w:p w14:paraId="22199301" w14:textId="4A034B48" w:rsidR="001842C1" w:rsidRDefault="001842C1" w:rsidP="008F6BAC">
      <w:pPr>
        <w:spacing w:after="0" w:line="240" w:lineRule="auto"/>
        <w:rPr>
          <w:b/>
        </w:rPr>
      </w:pPr>
    </w:p>
    <w:p w14:paraId="7AA2938C" w14:textId="793B0874" w:rsidR="001842C1" w:rsidRDefault="00462BDD" w:rsidP="00462BDD">
      <w:pPr>
        <w:spacing w:line="240" w:lineRule="auto"/>
        <w:rPr>
          <w:b/>
        </w:rPr>
      </w:pPr>
      <w:r>
        <w:rPr>
          <w:b/>
        </w:rPr>
        <w:t>Check box</w:t>
      </w:r>
      <w:r w:rsidR="001842C1">
        <w:rPr>
          <w:b/>
        </w:rPr>
        <w:t xml:space="preserve"> for type</w:t>
      </w:r>
      <w:r>
        <w:rPr>
          <w:b/>
        </w:rPr>
        <w:t>(s)</w:t>
      </w:r>
      <w:r w:rsidR="001842C1">
        <w:rPr>
          <w:b/>
        </w:rPr>
        <w:t xml:space="preserve"> of amendment requested</w:t>
      </w:r>
      <w:r>
        <w:rPr>
          <w:b/>
        </w:rPr>
        <w:t xml:space="preserve">: </w:t>
      </w:r>
    </w:p>
    <w:p w14:paraId="0943468B" w14:textId="591DB077" w:rsidR="00462BDD" w:rsidRPr="00462BDD" w:rsidRDefault="0088057A" w:rsidP="00462BDD">
      <w:pPr>
        <w:spacing w:line="240" w:lineRule="auto"/>
      </w:pPr>
      <w:sdt>
        <w:sdtPr>
          <w:id w:val="-1583595221"/>
          <w14:checkbox>
            <w14:checked w14:val="0"/>
            <w14:checkedState w14:val="2612" w14:font="MS Gothic"/>
            <w14:uncheckedState w14:val="2610" w14:font="MS Gothic"/>
          </w14:checkbox>
        </w:sdtPr>
        <w:sdtEndPr/>
        <w:sdtContent>
          <w:r w:rsidR="00462BDD">
            <w:rPr>
              <w:rFonts w:ascii="MS Gothic" w:eastAsia="MS Gothic" w:hAnsi="MS Gothic" w:hint="eastAsia"/>
            </w:rPr>
            <w:t>☐</w:t>
          </w:r>
        </w:sdtContent>
      </w:sdt>
      <w:r w:rsidR="00462BDD">
        <w:t xml:space="preserve"> </w:t>
      </w:r>
      <w:r w:rsidR="00462BDD" w:rsidRPr="00462BDD">
        <w:t>Scope (</w:t>
      </w:r>
      <w:r w:rsidR="00462BDD" w:rsidRPr="00462BDD">
        <w:rPr>
          <w:i/>
        </w:rPr>
        <w:t>change of location, change in metrics</w:t>
      </w:r>
      <w:r w:rsidR="00462BDD">
        <w:t>)</w:t>
      </w:r>
    </w:p>
    <w:p w14:paraId="3203E4BE" w14:textId="265EAC17" w:rsidR="00462BDD" w:rsidRPr="00462BDD" w:rsidRDefault="0088057A" w:rsidP="00462BDD">
      <w:pPr>
        <w:spacing w:line="240" w:lineRule="auto"/>
      </w:pPr>
      <w:sdt>
        <w:sdtPr>
          <w:id w:val="109867369"/>
          <w14:checkbox>
            <w14:checked w14:val="0"/>
            <w14:checkedState w14:val="2612" w14:font="MS Gothic"/>
            <w14:uncheckedState w14:val="2610" w14:font="MS Gothic"/>
          </w14:checkbox>
        </w:sdtPr>
        <w:sdtEndPr/>
        <w:sdtContent>
          <w:r w:rsidR="00462BDD">
            <w:rPr>
              <w:rFonts w:ascii="MS Gothic" w:eastAsia="MS Gothic" w:hAnsi="MS Gothic" w:hint="eastAsia"/>
            </w:rPr>
            <w:t>☐</w:t>
          </w:r>
        </w:sdtContent>
      </w:sdt>
      <w:r w:rsidR="00462BDD">
        <w:t xml:space="preserve"> </w:t>
      </w:r>
      <w:r w:rsidR="00462BDD" w:rsidRPr="00462BDD">
        <w:t>Time extension</w:t>
      </w:r>
    </w:p>
    <w:p w14:paraId="607EC1CB" w14:textId="5D1C05EA" w:rsidR="00A72AD0" w:rsidRDefault="0088057A" w:rsidP="006F0AD9">
      <w:pPr>
        <w:spacing w:line="240" w:lineRule="auto"/>
      </w:pPr>
      <w:sdt>
        <w:sdtPr>
          <w:id w:val="-1941446090"/>
          <w14:checkbox>
            <w14:checked w14:val="1"/>
            <w14:checkedState w14:val="2612" w14:font="MS Gothic"/>
            <w14:uncheckedState w14:val="2610" w14:font="MS Gothic"/>
          </w14:checkbox>
        </w:sdtPr>
        <w:sdtEndPr/>
        <w:sdtContent>
          <w:r w:rsidR="00960CF6">
            <w:rPr>
              <w:rFonts w:ascii="MS Gothic" w:eastAsia="MS Gothic" w:hAnsi="MS Gothic" w:hint="eastAsia"/>
            </w:rPr>
            <w:t>☒</w:t>
          </w:r>
        </w:sdtContent>
      </w:sdt>
      <w:r w:rsidR="00462BDD">
        <w:t xml:space="preserve"> </w:t>
      </w:r>
      <w:r w:rsidR="00462BDD" w:rsidRPr="00462BDD">
        <w:t>Cost (</w:t>
      </w:r>
      <w:r w:rsidR="00462BDD" w:rsidRPr="00462BDD">
        <w:rPr>
          <w:i/>
        </w:rPr>
        <w:t>increase, decrease, match change</w:t>
      </w:r>
      <w:r w:rsidR="00462BDD" w:rsidRPr="00462BDD">
        <w:t>)</w:t>
      </w:r>
    </w:p>
    <w:tbl>
      <w:tblPr>
        <w:tblStyle w:val="TableGrid"/>
        <w:tblW w:w="0" w:type="auto"/>
        <w:tblLook w:val="04A0" w:firstRow="1" w:lastRow="0" w:firstColumn="1" w:lastColumn="0" w:noHBand="0" w:noVBand="1"/>
      </w:tblPr>
      <w:tblGrid>
        <w:gridCol w:w="1975"/>
        <w:gridCol w:w="7375"/>
      </w:tblGrid>
      <w:tr w:rsidR="0035115F" w14:paraId="607EC1CE" w14:textId="77777777" w:rsidTr="00D36556">
        <w:tc>
          <w:tcPr>
            <w:tcW w:w="1975" w:type="dxa"/>
          </w:tcPr>
          <w:p w14:paraId="607EC1CC" w14:textId="77777777" w:rsidR="0035115F" w:rsidRPr="00D36556" w:rsidRDefault="0035115F" w:rsidP="008F6BAC">
            <w:r w:rsidRPr="00D36556">
              <w:t>Project name</w:t>
            </w:r>
          </w:p>
        </w:tc>
        <w:tc>
          <w:tcPr>
            <w:tcW w:w="7375" w:type="dxa"/>
          </w:tcPr>
          <w:p w14:paraId="607EC1CD" w14:textId="7BC9A1D8" w:rsidR="0035115F" w:rsidRDefault="00B0707D" w:rsidP="008F6BAC">
            <w:pPr>
              <w:rPr>
                <w:b/>
              </w:rPr>
            </w:pPr>
            <w:r>
              <w:rPr>
                <w:b/>
              </w:rPr>
              <w:t>Seahorse Siesta Barge Removal</w:t>
            </w:r>
          </w:p>
        </w:tc>
      </w:tr>
      <w:tr w:rsidR="0035115F" w14:paraId="607EC1D1" w14:textId="77777777" w:rsidTr="00D36556">
        <w:tc>
          <w:tcPr>
            <w:tcW w:w="1975" w:type="dxa"/>
          </w:tcPr>
          <w:p w14:paraId="607EC1CF" w14:textId="77777777" w:rsidR="0035115F" w:rsidRPr="00D36556" w:rsidRDefault="0035115F" w:rsidP="008F6BAC">
            <w:r w:rsidRPr="00D36556">
              <w:t>Project number</w:t>
            </w:r>
          </w:p>
        </w:tc>
        <w:tc>
          <w:tcPr>
            <w:tcW w:w="7375" w:type="dxa"/>
          </w:tcPr>
          <w:p w14:paraId="607EC1D0" w14:textId="624EF5C2" w:rsidR="0035115F" w:rsidRDefault="00B0707D" w:rsidP="008F6BAC">
            <w:pPr>
              <w:rPr>
                <w:b/>
              </w:rPr>
            </w:pPr>
            <w:r>
              <w:rPr>
                <w:b/>
              </w:rPr>
              <w:t>16-1306</w:t>
            </w:r>
          </w:p>
        </w:tc>
      </w:tr>
      <w:tr w:rsidR="0035115F" w14:paraId="607EC1D4" w14:textId="77777777" w:rsidTr="00D36556">
        <w:tc>
          <w:tcPr>
            <w:tcW w:w="1975" w:type="dxa"/>
          </w:tcPr>
          <w:p w14:paraId="607EC1D2" w14:textId="77777777" w:rsidR="0035115F" w:rsidRPr="00D36556" w:rsidRDefault="0035115F" w:rsidP="008F6BAC">
            <w:r w:rsidRPr="00D36556">
              <w:t>Date of request</w:t>
            </w:r>
          </w:p>
        </w:tc>
        <w:tc>
          <w:tcPr>
            <w:tcW w:w="7375" w:type="dxa"/>
          </w:tcPr>
          <w:p w14:paraId="607EC1D3" w14:textId="023907AB" w:rsidR="0035115F" w:rsidRDefault="00B0707D" w:rsidP="008F6BAC">
            <w:pPr>
              <w:rPr>
                <w:b/>
              </w:rPr>
            </w:pPr>
            <w:r>
              <w:rPr>
                <w:b/>
              </w:rPr>
              <w:t>11/23/2020</w:t>
            </w:r>
          </w:p>
        </w:tc>
      </w:tr>
      <w:tr w:rsidR="0035115F" w14:paraId="607EC1D7" w14:textId="77777777" w:rsidTr="00D36556">
        <w:tc>
          <w:tcPr>
            <w:tcW w:w="1975" w:type="dxa"/>
          </w:tcPr>
          <w:p w14:paraId="607EC1D5" w14:textId="77777777" w:rsidR="0035115F" w:rsidRPr="00D36556" w:rsidRDefault="0035115F" w:rsidP="008F6BAC">
            <w:r w:rsidRPr="00D36556">
              <w:t>Sponsor(s)</w:t>
            </w:r>
          </w:p>
        </w:tc>
        <w:tc>
          <w:tcPr>
            <w:tcW w:w="7375" w:type="dxa"/>
          </w:tcPr>
          <w:p w14:paraId="607EC1D6" w14:textId="170CD68C" w:rsidR="0035115F" w:rsidRDefault="00B0707D" w:rsidP="008F6BAC">
            <w:pPr>
              <w:rPr>
                <w:b/>
              </w:rPr>
            </w:pPr>
            <w:r>
              <w:rPr>
                <w:b/>
              </w:rPr>
              <w:t>Northwest Straits Foundation</w:t>
            </w:r>
          </w:p>
        </w:tc>
      </w:tr>
      <w:tr w:rsidR="0035115F" w14:paraId="607EC1DA" w14:textId="77777777" w:rsidTr="00D36556">
        <w:tc>
          <w:tcPr>
            <w:tcW w:w="1975" w:type="dxa"/>
          </w:tcPr>
          <w:p w14:paraId="607EC1D8" w14:textId="77777777" w:rsidR="0035115F" w:rsidRPr="00D36556" w:rsidRDefault="0035115F" w:rsidP="008F6BAC">
            <w:r w:rsidRPr="00D36556">
              <w:t>Lead Entity</w:t>
            </w:r>
          </w:p>
        </w:tc>
        <w:tc>
          <w:tcPr>
            <w:tcW w:w="7375" w:type="dxa"/>
          </w:tcPr>
          <w:p w14:paraId="607EC1D9" w14:textId="54BADB16" w:rsidR="0035115F" w:rsidRDefault="00B0707D" w:rsidP="008F6BAC">
            <w:pPr>
              <w:rPr>
                <w:b/>
              </w:rPr>
            </w:pPr>
            <w:r>
              <w:rPr>
                <w:b/>
              </w:rPr>
              <w:t xml:space="preserve">WRIA6 </w:t>
            </w:r>
          </w:p>
        </w:tc>
      </w:tr>
      <w:tr w:rsidR="0035115F" w14:paraId="607EC1DD" w14:textId="77777777" w:rsidTr="00D36556">
        <w:tc>
          <w:tcPr>
            <w:tcW w:w="1975" w:type="dxa"/>
          </w:tcPr>
          <w:p w14:paraId="607EC1DB" w14:textId="77777777" w:rsidR="0035115F" w:rsidRPr="00D36556" w:rsidRDefault="0035115F" w:rsidP="008F6BAC">
            <w:r w:rsidRPr="00D36556">
              <w:t>Current end date</w:t>
            </w:r>
          </w:p>
        </w:tc>
        <w:tc>
          <w:tcPr>
            <w:tcW w:w="7375" w:type="dxa"/>
          </w:tcPr>
          <w:p w14:paraId="607EC1DC" w14:textId="49493444" w:rsidR="0035115F" w:rsidRDefault="00B0707D" w:rsidP="008F6BAC">
            <w:pPr>
              <w:rPr>
                <w:b/>
              </w:rPr>
            </w:pPr>
            <w:r>
              <w:rPr>
                <w:b/>
              </w:rPr>
              <w:t>6/30/2020</w:t>
            </w:r>
          </w:p>
        </w:tc>
      </w:tr>
    </w:tbl>
    <w:p w14:paraId="607EC1DE" w14:textId="77777777" w:rsidR="00A72AD0" w:rsidRDefault="00A72AD0" w:rsidP="008F6BAC">
      <w:pPr>
        <w:spacing w:after="0" w:line="240" w:lineRule="auto"/>
      </w:pPr>
    </w:p>
    <w:p w14:paraId="289CCD1E" w14:textId="58A47AA6" w:rsidR="0002239B" w:rsidRDefault="00756127" w:rsidP="008F6BAC">
      <w:pPr>
        <w:spacing w:after="0" w:line="240" w:lineRule="auto"/>
        <w:rPr>
          <w:i/>
        </w:rPr>
      </w:pPr>
      <w:r>
        <w:rPr>
          <w:b/>
        </w:rPr>
        <w:t>Funding</w:t>
      </w:r>
      <w:proofErr w:type="gramStart"/>
      <w:r>
        <w:rPr>
          <w:b/>
        </w:rPr>
        <w:t xml:space="preserve">: </w:t>
      </w:r>
      <w:r w:rsidR="008F6BAC">
        <w:t xml:space="preserve"> </w:t>
      </w:r>
      <w:r w:rsidR="00462BDD">
        <w:t>(</w:t>
      </w:r>
      <w:proofErr w:type="gramEnd"/>
      <w:r w:rsidR="0002239B">
        <w:rPr>
          <w:i/>
        </w:rPr>
        <w:t>grant manager</w:t>
      </w:r>
      <w:r w:rsidR="00462BDD">
        <w:rPr>
          <w:i/>
        </w:rPr>
        <w:t xml:space="preserve"> may need </w:t>
      </w:r>
      <w:r w:rsidR="00A90E37">
        <w:rPr>
          <w:i/>
        </w:rPr>
        <w:t>provide information for</w:t>
      </w:r>
      <w:r w:rsidR="00462BDD">
        <w:rPr>
          <w:i/>
        </w:rPr>
        <w:t xml:space="preserve"> this section</w:t>
      </w:r>
      <w:r w:rsidR="00462BDD">
        <w:t>)</w:t>
      </w:r>
      <w:r w:rsidR="0002239B">
        <w:rPr>
          <w:i/>
        </w:rPr>
        <w:t xml:space="preserve"> </w:t>
      </w:r>
    </w:p>
    <w:p w14:paraId="607EC1DF" w14:textId="2275BB69" w:rsidR="008F6BAC" w:rsidRDefault="008F6BAC" w:rsidP="008F6BAC">
      <w:pPr>
        <w:spacing w:after="0" w:line="240" w:lineRule="auto"/>
      </w:pPr>
      <w:r>
        <w:tab/>
      </w:r>
    </w:p>
    <w:tbl>
      <w:tblPr>
        <w:tblStyle w:val="TableGrid"/>
        <w:tblW w:w="0" w:type="auto"/>
        <w:tblLook w:val="04A0" w:firstRow="1" w:lastRow="0" w:firstColumn="1" w:lastColumn="0" w:noHBand="0" w:noVBand="1"/>
      </w:tblPr>
      <w:tblGrid>
        <w:gridCol w:w="2605"/>
        <w:gridCol w:w="1260"/>
        <w:gridCol w:w="1260"/>
        <w:gridCol w:w="1252"/>
        <w:gridCol w:w="908"/>
        <w:gridCol w:w="1155"/>
        <w:gridCol w:w="910"/>
      </w:tblGrid>
      <w:tr w:rsidR="00D320BC" w14:paraId="607EC1E4" w14:textId="66F52A3E" w:rsidTr="00D320BC">
        <w:tc>
          <w:tcPr>
            <w:tcW w:w="2605" w:type="dxa"/>
          </w:tcPr>
          <w:p w14:paraId="607EC1E0" w14:textId="77777777" w:rsidR="00D320BC" w:rsidRDefault="00D320BC" w:rsidP="008F6BAC"/>
        </w:tc>
        <w:tc>
          <w:tcPr>
            <w:tcW w:w="1260" w:type="dxa"/>
          </w:tcPr>
          <w:p w14:paraId="607EC1E1" w14:textId="04345140" w:rsidR="00D320BC" w:rsidRDefault="00D320BC" w:rsidP="008F6BAC">
            <w:r>
              <w:t>Current Amount</w:t>
            </w:r>
          </w:p>
        </w:tc>
        <w:tc>
          <w:tcPr>
            <w:tcW w:w="1260" w:type="dxa"/>
          </w:tcPr>
          <w:p w14:paraId="607EC1E2" w14:textId="77777777" w:rsidR="00D320BC" w:rsidRDefault="00D320BC" w:rsidP="008F6BAC">
            <w:r>
              <w:t>Biennium / year of funding</w:t>
            </w:r>
          </w:p>
        </w:tc>
        <w:tc>
          <w:tcPr>
            <w:tcW w:w="1252" w:type="dxa"/>
          </w:tcPr>
          <w:p w14:paraId="23CFF856" w14:textId="0B7414F6" w:rsidR="00D320BC" w:rsidRDefault="00D320BC" w:rsidP="008F6BAC">
            <w:r>
              <w:t>Amount remaining</w:t>
            </w:r>
          </w:p>
        </w:tc>
        <w:tc>
          <w:tcPr>
            <w:tcW w:w="908" w:type="dxa"/>
          </w:tcPr>
          <w:p w14:paraId="607EC1E3" w14:textId="13D46779" w:rsidR="00D320BC" w:rsidRDefault="0002239B" w:rsidP="008F6BAC">
            <w:r>
              <w:t>Share</w:t>
            </w:r>
          </w:p>
        </w:tc>
        <w:tc>
          <w:tcPr>
            <w:tcW w:w="1155" w:type="dxa"/>
          </w:tcPr>
          <w:p w14:paraId="4ABC24D2" w14:textId="0866DE5F" w:rsidR="00D320BC" w:rsidRDefault="00F365B9" w:rsidP="008F6BAC">
            <w:r>
              <w:t>New funding amount</w:t>
            </w:r>
          </w:p>
        </w:tc>
        <w:tc>
          <w:tcPr>
            <w:tcW w:w="910" w:type="dxa"/>
          </w:tcPr>
          <w:p w14:paraId="66626CE1" w14:textId="497AA4AA" w:rsidR="00D320BC" w:rsidRDefault="00D320BC" w:rsidP="0002239B">
            <w:r>
              <w:t xml:space="preserve">New </w:t>
            </w:r>
            <w:r w:rsidR="0002239B">
              <w:t>share</w:t>
            </w:r>
          </w:p>
        </w:tc>
      </w:tr>
      <w:tr w:rsidR="00D320BC" w:rsidRPr="00F47006" w14:paraId="607EC1E9" w14:textId="0FA8250F" w:rsidTr="00D320BC">
        <w:tc>
          <w:tcPr>
            <w:tcW w:w="2605" w:type="dxa"/>
          </w:tcPr>
          <w:p w14:paraId="607EC1E5" w14:textId="27B57A02" w:rsidR="00D320BC" w:rsidRPr="006A3A4A" w:rsidRDefault="00D320BC" w:rsidP="008F6BAC">
            <w:r w:rsidRPr="006A3A4A">
              <w:t>Funding source</w:t>
            </w:r>
            <w:r w:rsidR="00B0707D" w:rsidRPr="006A3A4A">
              <w:t>: PSAR</w:t>
            </w:r>
          </w:p>
        </w:tc>
        <w:tc>
          <w:tcPr>
            <w:tcW w:w="1260" w:type="dxa"/>
          </w:tcPr>
          <w:p w14:paraId="607EC1E6" w14:textId="61261E18" w:rsidR="00D320BC" w:rsidRPr="006A3A4A" w:rsidRDefault="00D320BC" w:rsidP="008F6BAC">
            <w:r w:rsidRPr="006A3A4A">
              <w:t>$</w:t>
            </w:r>
            <w:r w:rsidR="00B0707D" w:rsidRPr="006A3A4A">
              <w:t>419,228</w:t>
            </w:r>
          </w:p>
        </w:tc>
        <w:tc>
          <w:tcPr>
            <w:tcW w:w="1260" w:type="dxa"/>
          </w:tcPr>
          <w:p w14:paraId="607EC1E7" w14:textId="3C91A9E8" w:rsidR="00D320BC" w:rsidRPr="006A3A4A" w:rsidRDefault="00B0707D" w:rsidP="008F6BAC">
            <w:r w:rsidRPr="006A3A4A">
              <w:t>2017</w:t>
            </w:r>
            <w:r w:rsidR="00BA72DA" w:rsidRPr="006A3A4A">
              <w:t xml:space="preserve"> &amp; 2019</w:t>
            </w:r>
          </w:p>
        </w:tc>
        <w:tc>
          <w:tcPr>
            <w:tcW w:w="1252" w:type="dxa"/>
          </w:tcPr>
          <w:p w14:paraId="3C2CDE4D" w14:textId="3883B0C6" w:rsidR="00D320BC" w:rsidRPr="006A3A4A" w:rsidRDefault="00D320BC" w:rsidP="008F6BAC">
            <w:r w:rsidRPr="006A3A4A">
              <w:t>$</w:t>
            </w:r>
            <w:r w:rsidR="004B3F36" w:rsidRPr="006A3A4A">
              <w:t>398,617</w:t>
            </w:r>
          </w:p>
        </w:tc>
        <w:tc>
          <w:tcPr>
            <w:tcW w:w="908" w:type="dxa"/>
          </w:tcPr>
          <w:p w14:paraId="607EC1E8" w14:textId="2B5BC058" w:rsidR="00D320BC" w:rsidRPr="006A3A4A" w:rsidRDefault="00D320BC" w:rsidP="008F6BAC"/>
        </w:tc>
        <w:tc>
          <w:tcPr>
            <w:tcW w:w="1155" w:type="dxa"/>
          </w:tcPr>
          <w:p w14:paraId="1985C3ED" w14:textId="4F9B56C8" w:rsidR="00D320BC" w:rsidRPr="006A3A4A" w:rsidRDefault="00D320BC" w:rsidP="008F6BAC">
            <w:r w:rsidRPr="006A3A4A">
              <w:t>$</w:t>
            </w:r>
            <w:r w:rsidR="00AB493C" w:rsidRPr="006A3A4A">
              <w:t>454,028</w:t>
            </w:r>
          </w:p>
        </w:tc>
        <w:tc>
          <w:tcPr>
            <w:tcW w:w="910" w:type="dxa"/>
          </w:tcPr>
          <w:p w14:paraId="40A27CBA" w14:textId="5D75289D" w:rsidR="00D320BC" w:rsidRPr="006A3A4A" w:rsidRDefault="00D320BC" w:rsidP="008F6BAC">
            <w:r w:rsidRPr="006A3A4A">
              <w:t>%</w:t>
            </w:r>
            <w:r w:rsidR="00896C02" w:rsidRPr="006A3A4A">
              <w:t>55</w:t>
            </w:r>
          </w:p>
        </w:tc>
      </w:tr>
      <w:tr w:rsidR="004B3F36" w:rsidRPr="00F47006" w14:paraId="68A5AC8B" w14:textId="77777777" w:rsidTr="00D320BC">
        <w:tc>
          <w:tcPr>
            <w:tcW w:w="2605" w:type="dxa"/>
            <w:tcBorders>
              <w:bottom w:val="single" w:sz="4" w:space="0" w:color="auto"/>
            </w:tcBorders>
          </w:tcPr>
          <w:p w14:paraId="54EF8A8F" w14:textId="18819C8A" w:rsidR="004B3F36" w:rsidRPr="006A3A4A" w:rsidRDefault="004B3F36" w:rsidP="008F6BAC">
            <w:r w:rsidRPr="006A3A4A">
              <w:t>Funding source: SRFB</w:t>
            </w:r>
          </w:p>
        </w:tc>
        <w:tc>
          <w:tcPr>
            <w:tcW w:w="1260" w:type="dxa"/>
            <w:tcBorders>
              <w:bottom w:val="single" w:sz="4" w:space="0" w:color="auto"/>
            </w:tcBorders>
          </w:tcPr>
          <w:p w14:paraId="04A380DF" w14:textId="77777777" w:rsidR="004B3F36" w:rsidRPr="006A3A4A" w:rsidRDefault="004B3F36" w:rsidP="008F6BAC"/>
        </w:tc>
        <w:tc>
          <w:tcPr>
            <w:tcW w:w="1260" w:type="dxa"/>
            <w:tcBorders>
              <w:bottom w:val="single" w:sz="4" w:space="0" w:color="auto"/>
            </w:tcBorders>
          </w:tcPr>
          <w:p w14:paraId="0F93943A" w14:textId="35AE14DA" w:rsidR="004B3F36" w:rsidRPr="006A3A4A" w:rsidRDefault="004B3F36" w:rsidP="008F6BAC">
            <w:r w:rsidRPr="006A3A4A">
              <w:t>2019</w:t>
            </w:r>
          </w:p>
        </w:tc>
        <w:tc>
          <w:tcPr>
            <w:tcW w:w="1252" w:type="dxa"/>
            <w:tcBorders>
              <w:bottom w:val="single" w:sz="4" w:space="0" w:color="auto"/>
            </w:tcBorders>
          </w:tcPr>
          <w:p w14:paraId="2BAA24CD" w14:textId="77777777" w:rsidR="004B3F36" w:rsidRPr="006A3A4A" w:rsidRDefault="004B3F36" w:rsidP="008F6BAC"/>
        </w:tc>
        <w:tc>
          <w:tcPr>
            <w:tcW w:w="908" w:type="dxa"/>
            <w:tcBorders>
              <w:bottom w:val="single" w:sz="4" w:space="0" w:color="auto"/>
            </w:tcBorders>
          </w:tcPr>
          <w:p w14:paraId="39529B00" w14:textId="77777777" w:rsidR="004B3F36" w:rsidRPr="006A3A4A" w:rsidRDefault="004B3F36" w:rsidP="008F6BAC"/>
        </w:tc>
        <w:tc>
          <w:tcPr>
            <w:tcW w:w="1155" w:type="dxa"/>
            <w:tcBorders>
              <w:bottom w:val="single" w:sz="4" w:space="0" w:color="auto"/>
            </w:tcBorders>
          </w:tcPr>
          <w:p w14:paraId="31111044" w14:textId="107C6C2C" w:rsidR="004B3F36" w:rsidRPr="006A3A4A" w:rsidRDefault="004B3F36" w:rsidP="008F6BAC">
            <w:r w:rsidRPr="006A3A4A">
              <w:t>$</w:t>
            </w:r>
            <w:r w:rsidR="00BA72DA" w:rsidRPr="006A3A4A">
              <w:t>1</w:t>
            </w:r>
            <w:r w:rsidR="009A07CF" w:rsidRPr="006A3A4A">
              <w:t>00</w:t>
            </w:r>
            <w:r w:rsidR="00BA72DA" w:rsidRPr="006A3A4A">
              <w:t>,000</w:t>
            </w:r>
          </w:p>
        </w:tc>
        <w:tc>
          <w:tcPr>
            <w:tcW w:w="910" w:type="dxa"/>
            <w:tcBorders>
              <w:bottom w:val="single" w:sz="4" w:space="0" w:color="auto"/>
            </w:tcBorders>
          </w:tcPr>
          <w:p w14:paraId="76A9BC31" w14:textId="796E12B4" w:rsidR="004B3F36" w:rsidRPr="006A3A4A" w:rsidRDefault="004B3F36" w:rsidP="008F6BAC">
            <w:r w:rsidRPr="006A3A4A">
              <w:t>%</w:t>
            </w:r>
            <w:r w:rsidR="006A4C20" w:rsidRPr="006A3A4A">
              <w:t>1</w:t>
            </w:r>
            <w:r w:rsidR="009A07CF" w:rsidRPr="006A3A4A">
              <w:t>6</w:t>
            </w:r>
          </w:p>
        </w:tc>
      </w:tr>
      <w:tr w:rsidR="00F47006" w:rsidRPr="00F47006" w14:paraId="4DCC98AC" w14:textId="77777777" w:rsidTr="005B4E14">
        <w:tc>
          <w:tcPr>
            <w:tcW w:w="2605" w:type="dxa"/>
          </w:tcPr>
          <w:p w14:paraId="43C8683E" w14:textId="527D2D5D" w:rsidR="00F47006" w:rsidRPr="006A3A4A" w:rsidRDefault="00F47006" w:rsidP="005B4E14">
            <w:r w:rsidRPr="006A3A4A">
              <w:t>Funding source: SRFB cost increase fund</w:t>
            </w:r>
          </w:p>
        </w:tc>
        <w:tc>
          <w:tcPr>
            <w:tcW w:w="1260" w:type="dxa"/>
          </w:tcPr>
          <w:p w14:paraId="7A53FC8B" w14:textId="77777777" w:rsidR="00F47006" w:rsidRPr="006A3A4A" w:rsidRDefault="00F47006" w:rsidP="005B4E14"/>
        </w:tc>
        <w:tc>
          <w:tcPr>
            <w:tcW w:w="1260" w:type="dxa"/>
          </w:tcPr>
          <w:p w14:paraId="030C6187" w14:textId="77777777" w:rsidR="00F47006" w:rsidRPr="006A3A4A" w:rsidRDefault="00F47006" w:rsidP="005B4E14"/>
        </w:tc>
        <w:tc>
          <w:tcPr>
            <w:tcW w:w="1252" w:type="dxa"/>
          </w:tcPr>
          <w:p w14:paraId="0D06236E" w14:textId="77777777" w:rsidR="00F47006" w:rsidRPr="006A3A4A" w:rsidRDefault="00F47006" w:rsidP="005B4E14"/>
        </w:tc>
        <w:tc>
          <w:tcPr>
            <w:tcW w:w="908" w:type="dxa"/>
          </w:tcPr>
          <w:p w14:paraId="3F89ECF5" w14:textId="77777777" w:rsidR="00F47006" w:rsidRPr="006A3A4A" w:rsidRDefault="00F47006" w:rsidP="005B4E14">
            <w:pPr>
              <w:rPr>
                <w:b/>
                <w:bCs/>
              </w:rPr>
            </w:pPr>
          </w:p>
        </w:tc>
        <w:tc>
          <w:tcPr>
            <w:tcW w:w="1155" w:type="dxa"/>
          </w:tcPr>
          <w:p w14:paraId="2954541A" w14:textId="1159E1A9" w:rsidR="00F47006" w:rsidRPr="006A3A4A" w:rsidRDefault="00F47006" w:rsidP="005B4E14">
            <w:r w:rsidRPr="006A3A4A">
              <w:t>$</w:t>
            </w:r>
            <w:r w:rsidR="009A07CF" w:rsidRPr="006A3A4A">
              <w:t>118</w:t>
            </w:r>
            <w:r w:rsidRPr="006A3A4A">
              <w:t>,000</w:t>
            </w:r>
          </w:p>
        </w:tc>
        <w:tc>
          <w:tcPr>
            <w:tcW w:w="910" w:type="dxa"/>
          </w:tcPr>
          <w:p w14:paraId="232B4396" w14:textId="77777777" w:rsidR="00F47006" w:rsidRPr="006A3A4A" w:rsidRDefault="00F47006" w:rsidP="005B4E14"/>
        </w:tc>
      </w:tr>
      <w:tr w:rsidR="00907B4E" w14:paraId="724EF08A" w14:textId="77777777" w:rsidTr="005B4E14">
        <w:tc>
          <w:tcPr>
            <w:tcW w:w="2605" w:type="dxa"/>
          </w:tcPr>
          <w:p w14:paraId="37011BED" w14:textId="07FF2F3B" w:rsidR="00907B4E" w:rsidRPr="006A3A4A" w:rsidRDefault="00907B4E" w:rsidP="005B4E14">
            <w:pPr>
              <w:rPr>
                <w:b/>
                <w:bCs/>
              </w:rPr>
            </w:pPr>
            <w:r w:rsidRPr="006A3A4A">
              <w:rPr>
                <w:b/>
                <w:bCs/>
              </w:rPr>
              <w:t>SRFB</w:t>
            </w:r>
            <w:r w:rsidR="00AB493C" w:rsidRPr="006A3A4A">
              <w:rPr>
                <w:b/>
                <w:bCs/>
              </w:rPr>
              <w:t>/PSAR</w:t>
            </w:r>
            <w:r w:rsidRPr="006A3A4A">
              <w:rPr>
                <w:b/>
                <w:bCs/>
              </w:rPr>
              <w:t xml:space="preserve"> Funding Total</w:t>
            </w:r>
          </w:p>
        </w:tc>
        <w:tc>
          <w:tcPr>
            <w:tcW w:w="1260" w:type="dxa"/>
          </w:tcPr>
          <w:p w14:paraId="40992392" w14:textId="77777777" w:rsidR="00907B4E" w:rsidRPr="006A3A4A" w:rsidRDefault="00907B4E" w:rsidP="005B4E14"/>
        </w:tc>
        <w:tc>
          <w:tcPr>
            <w:tcW w:w="1260" w:type="dxa"/>
          </w:tcPr>
          <w:p w14:paraId="4DF67506" w14:textId="77777777" w:rsidR="00907B4E" w:rsidRPr="006A3A4A" w:rsidRDefault="00907B4E" w:rsidP="005B4E14"/>
        </w:tc>
        <w:tc>
          <w:tcPr>
            <w:tcW w:w="1252" w:type="dxa"/>
          </w:tcPr>
          <w:p w14:paraId="02F450FC" w14:textId="77777777" w:rsidR="00907B4E" w:rsidRPr="006A3A4A" w:rsidRDefault="00907B4E" w:rsidP="005B4E14"/>
        </w:tc>
        <w:tc>
          <w:tcPr>
            <w:tcW w:w="908" w:type="dxa"/>
          </w:tcPr>
          <w:p w14:paraId="71D372F0" w14:textId="77777777" w:rsidR="00907B4E" w:rsidRPr="006A3A4A" w:rsidRDefault="00907B4E" w:rsidP="005B4E14">
            <w:pPr>
              <w:rPr>
                <w:b/>
                <w:bCs/>
              </w:rPr>
            </w:pPr>
          </w:p>
        </w:tc>
        <w:tc>
          <w:tcPr>
            <w:tcW w:w="1155" w:type="dxa"/>
          </w:tcPr>
          <w:p w14:paraId="57ED6583" w14:textId="30906FD1" w:rsidR="00907B4E" w:rsidRPr="006A3A4A" w:rsidRDefault="00907B4E" w:rsidP="005B4E14">
            <w:pPr>
              <w:rPr>
                <w:b/>
                <w:bCs/>
              </w:rPr>
            </w:pPr>
            <w:r w:rsidRPr="006A3A4A">
              <w:rPr>
                <w:b/>
                <w:bCs/>
              </w:rPr>
              <w:t>$</w:t>
            </w:r>
            <w:r w:rsidR="00A92B78" w:rsidRPr="006A3A4A">
              <w:rPr>
                <w:b/>
                <w:bCs/>
              </w:rPr>
              <w:t>672,028</w:t>
            </w:r>
          </w:p>
        </w:tc>
        <w:tc>
          <w:tcPr>
            <w:tcW w:w="910" w:type="dxa"/>
          </w:tcPr>
          <w:p w14:paraId="495C3AF7" w14:textId="77777777" w:rsidR="00907B4E" w:rsidRPr="006A3A4A" w:rsidRDefault="00907B4E" w:rsidP="005B4E14"/>
        </w:tc>
      </w:tr>
      <w:tr w:rsidR="00907B4E" w:rsidRPr="00F47006" w14:paraId="48577857" w14:textId="77777777" w:rsidTr="005B4E14">
        <w:tc>
          <w:tcPr>
            <w:tcW w:w="2605" w:type="dxa"/>
          </w:tcPr>
          <w:p w14:paraId="0FBF985D" w14:textId="77777777" w:rsidR="00907B4E" w:rsidRPr="006A3A4A" w:rsidRDefault="00907B4E" w:rsidP="005B4E14">
            <w:r w:rsidRPr="006A3A4A">
              <w:t>Funding source: ESRP</w:t>
            </w:r>
          </w:p>
        </w:tc>
        <w:tc>
          <w:tcPr>
            <w:tcW w:w="1260" w:type="dxa"/>
          </w:tcPr>
          <w:p w14:paraId="4444E633" w14:textId="77777777" w:rsidR="00907B4E" w:rsidRPr="006A3A4A" w:rsidRDefault="00907B4E" w:rsidP="005B4E14">
            <w:r w:rsidRPr="006A3A4A">
              <w:t>$46,815</w:t>
            </w:r>
          </w:p>
        </w:tc>
        <w:tc>
          <w:tcPr>
            <w:tcW w:w="1260" w:type="dxa"/>
          </w:tcPr>
          <w:p w14:paraId="22401822" w14:textId="77777777" w:rsidR="00907B4E" w:rsidRPr="006A3A4A" w:rsidRDefault="00907B4E" w:rsidP="005B4E14">
            <w:r w:rsidRPr="006A3A4A">
              <w:t>2018</w:t>
            </w:r>
          </w:p>
        </w:tc>
        <w:tc>
          <w:tcPr>
            <w:tcW w:w="1252" w:type="dxa"/>
          </w:tcPr>
          <w:p w14:paraId="0FEA8F85" w14:textId="77777777" w:rsidR="00907B4E" w:rsidRPr="006A3A4A" w:rsidRDefault="00907B4E" w:rsidP="005B4E14">
            <w:r w:rsidRPr="006A3A4A">
              <w:t>$46,815</w:t>
            </w:r>
          </w:p>
        </w:tc>
        <w:tc>
          <w:tcPr>
            <w:tcW w:w="908" w:type="dxa"/>
          </w:tcPr>
          <w:p w14:paraId="34909983" w14:textId="77777777" w:rsidR="00907B4E" w:rsidRPr="006A3A4A" w:rsidRDefault="00907B4E" w:rsidP="005B4E14"/>
        </w:tc>
        <w:tc>
          <w:tcPr>
            <w:tcW w:w="1155" w:type="dxa"/>
          </w:tcPr>
          <w:p w14:paraId="2A5E1946" w14:textId="77777777" w:rsidR="00907B4E" w:rsidRPr="006A3A4A" w:rsidRDefault="00907B4E" w:rsidP="005B4E14">
            <w:r w:rsidRPr="006A3A4A">
              <w:t>$146,815</w:t>
            </w:r>
          </w:p>
        </w:tc>
        <w:tc>
          <w:tcPr>
            <w:tcW w:w="910" w:type="dxa"/>
          </w:tcPr>
          <w:p w14:paraId="76FC4E5F" w14:textId="4E375CB9" w:rsidR="00907B4E" w:rsidRPr="006A3A4A" w:rsidRDefault="00907B4E" w:rsidP="005B4E14">
            <w:r w:rsidRPr="006A3A4A">
              <w:t>%</w:t>
            </w:r>
            <w:r w:rsidR="006A4C20" w:rsidRPr="006A3A4A">
              <w:t>19</w:t>
            </w:r>
          </w:p>
        </w:tc>
      </w:tr>
      <w:tr w:rsidR="00D320BC" w:rsidRPr="00F47006" w14:paraId="607EC1EE" w14:textId="336D0A59" w:rsidTr="00D320BC">
        <w:tc>
          <w:tcPr>
            <w:tcW w:w="2605" w:type="dxa"/>
            <w:tcBorders>
              <w:bottom w:val="single" w:sz="4" w:space="0" w:color="auto"/>
            </w:tcBorders>
          </w:tcPr>
          <w:p w14:paraId="607EC1EA" w14:textId="77777777" w:rsidR="00D320BC" w:rsidRPr="006A3A4A" w:rsidRDefault="00D320BC" w:rsidP="008F6BAC">
            <w:r w:rsidRPr="006A3A4A">
              <w:t>Sponsor match</w:t>
            </w:r>
          </w:p>
        </w:tc>
        <w:tc>
          <w:tcPr>
            <w:tcW w:w="1260" w:type="dxa"/>
            <w:tcBorders>
              <w:bottom w:val="single" w:sz="4" w:space="0" w:color="auto"/>
            </w:tcBorders>
          </w:tcPr>
          <w:p w14:paraId="607EC1EB" w14:textId="6BFBD2F3" w:rsidR="00D320BC" w:rsidRPr="006A3A4A" w:rsidRDefault="00D320BC" w:rsidP="008F6BAC">
            <w:r w:rsidRPr="006A3A4A">
              <w:t>$</w:t>
            </w:r>
            <w:r w:rsidR="004C791A" w:rsidRPr="006A3A4A">
              <w:t>30,417</w:t>
            </w:r>
          </w:p>
        </w:tc>
        <w:tc>
          <w:tcPr>
            <w:tcW w:w="1260" w:type="dxa"/>
            <w:tcBorders>
              <w:bottom w:val="single" w:sz="4" w:space="0" w:color="auto"/>
            </w:tcBorders>
          </w:tcPr>
          <w:p w14:paraId="607EC1EC" w14:textId="77777777" w:rsidR="00D320BC" w:rsidRPr="006A3A4A" w:rsidRDefault="00D320BC" w:rsidP="008F6BAC"/>
        </w:tc>
        <w:tc>
          <w:tcPr>
            <w:tcW w:w="1252" w:type="dxa"/>
            <w:tcBorders>
              <w:bottom w:val="single" w:sz="4" w:space="0" w:color="auto"/>
            </w:tcBorders>
          </w:tcPr>
          <w:p w14:paraId="580C842A" w14:textId="50A9E61A" w:rsidR="00D320BC" w:rsidRPr="006A3A4A" w:rsidRDefault="00D320BC" w:rsidP="008F6BAC">
            <w:r w:rsidRPr="006A3A4A">
              <w:t>$</w:t>
            </w:r>
            <w:r w:rsidR="00142C8F" w:rsidRPr="006A3A4A">
              <w:t>28,978</w:t>
            </w:r>
          </w:p>
        </w:tc>
        <w:tc>
          <w:tcPr>
            <w:tcW w:w="908" w:type="dxa"/>
            <w:tcBorders>
              <w:bottom w:val="single" w:sz="4" w:space="0" w:color="auto"/>
            </w:tcBorders>
          </w:tcPr>
          <w:p w14:paraId="607EC1ED" w14:textId="549F0B76" w:rsidR="00D320BC" w:rsidRPr="006A3A4A" w:rsidRDefault="00D320BC" w:rsidP="008F6BAC"/>
        </w:tc>
        <w:tc>
          <w:tcPr>
            <w:tcW w:w="1155" w:type="dxa"/>
            <w:tcBorders>
              <w:bottom w:val="single" w:sz="4" w:space="0" w:color="auto"/>
            </w:tcBorders>
          </w:tcPr>
          <w:p w14:paraId="3352CAC7" w14:textId="044E1AA6" w:rsidR="00D320BC" w:rsidRPr="006A3A4A" w:rsidRDefault="00D320BC" w:rsidP="008F6BAC">
            <w:r w:rsidRPr="006A3A4A">
              <w:t>$</w:t>
            </w:r>
            <w:r w:rsidR="00182682" w:rsidRPr="006A3A4A">
              <w:t>84,000</w:t>
            </w:r>
          </w:p>
        </w:tc>
        <w:tc>
          <w:tcPr>
            <w:tcW w:w="910" w:type="dxa"/>
            <w:tcBorders>
              <w:bottom w:val="single" w:sz="4" w:space="0" w:color="auto"/>
            </w:tcBorders>
          </w:tcPr>
          <w:p w14:paraId="7932B552" w14:textId="6CB06DA1" w:rsidR="00D320BC" w:rsidRPr="006A3A4A" w:rsidRDefault="00D320BC" w:rsidP="008F6BAC">
            <w:r w:rsidRPr="006A3A4A">
              <w:t>%</w:t>
            </w:r>
            <w:r w:rsidR="006A4C20" w:rsidRPr="006A3A4A">
              <w:t>11</w:t>
            </w:r>
          </w:p>
        </w:tc>
        <w:bookmarkStart w:id="0" w:name="_GoBack"/>
        <w:bookmarkEnd w:id="0"/>
      </w:tr>
      <w:tr w:rsidR="00907B4E" w14:paraId="6A9737E9" w14:textId="77777777" w:rsidTr="00D320BC">
        <w:tc>
          <w:tcPr>
            <w:tcW w:w="2605" w:type="dxa"/>
            <w:tcBorders>
              <w:top w:val="single" w:sz="4" w:space="0" w:color="auto"/>
              <w:left w:val="single" w:sz="4" w:space="0" w:color="auto"/>
              <w:bottom w:val="single" w:sz="4" w:space="0" w:color="auto"/>
              <w:right w:val="single" w:sz="4" w:space="0" w:color="auto"/>
            </w:tcBorders>
          </w:tcPr>
          <w:p w14:paraId="495B3D59" w14:textId="5CD36F25" w:rsidR="00907B4E" w:rsidRPr="00907B4E" w:rsidRDefault="00907B4E" w:rsidP="008F6BAC">
            <w:pPr>
              <w:rPr>
                <w:b/>
                <w:bCs/>
              </w:rPr>
            </w:pPr>
            <w:r>
              <w:rPr>
                <w:b/>
                <w:bCs/>
              </w:rPr>
              <w:t xml:space="preserve">Total </w:t>
            </w:r>
            <w:r w:rsidR="00AB493C">
              <w:rPr>
                <w:b/>
                <w:bCs/>
              </w:rPr>
              <w:t xml:space="preserve">SRFB/PSAR </w:t>
            </w:r>
            <w:r>
              <w:rPr>
                <w:b/>
                <w:bCs/>
              </w:rPr>
              <w:t>Match</w:t>
            </w:r>
          </w:p>
        </w:tc>
        <w:tc>
          <w:tcPr>
            <w:tcW w:w="1260" w:type="dxa"/>
            <w:tcBorders>
              <w:top w:val="single" w:sz="4" w:space="0" w:color="auto"/>
              <w:left w:val="single" w:sz="4" w:space="0" w:color="auto"/>
              <w:bottom w:val="single" w:sz="4" w:space="0" w:color="auto"/>
              <w:right w:val="single" w:sz="4" w:space="0" w:color="auto"/>
            </w:tcBorders>
          </w:tcPr>
          <w:p w14:paraId="4C4D580C" w14:textId="77777777" w:rsidR="00907B4E" w:rsidRDefault="00907B4E" w:rsidP="008F6BAC"/>
        </w:tc>
        <w:tc>
          <w:tcPr>
            <w:tcW w:w="1260" w:type="dxa"/>
            <w:tcBorders>
              <w:top w:val="single" w:sz="4" w:space="0" w:color="auto"/>
              <w:left w:val="single" w:sz="4" w:space="0" w:color="auto"/>
              <w:bottom w:val="single" w:sz="4" w:space="0" w:color="auto"/>
              <w:right w:val="single" w:sz="4" w:space="0" w:color="auto"/>
            </w:tcBorders>
          </w:tcPr>
          <w:p w14:paraId="4E37AC0F" w14:textId="77777777" w:rsidR="00907B4E" w:rsidRDefault="00907B4E" w:rsidP="008F6BAC"/>
        </w:tc>
        <w:tc>
          <w:tcPr>
            <w:tcW w:w="1252" w:type="dxa"/>
            <w:tcBorders>
              <w:top w:val="single" w:sz="4" w:space="0" w:color="auto"/>
              <w:left w:val="single" w:sz="4" w:space="0" w:color="auto"/>
              <w:bottom w:val="single" w:sz="4" w:space="0" w:color="auto"/>
              <w:right w:val="single" w:sz="4" w:space="0" w:color="auto"/>
            </w:tcBorders>
          </w:tcPr>
          <w:p w14:paraId="48D0A446" w14:textId="77777777" w:rsidR="00907B4E" w:rsidRDefault="00907B4E" w:rsidP="008F6BAC"/>
        </w:tc>
        <w:tc>
          <w:tcPr>
            <w:tcW w:w="908" w:type="dxa"/>
            <w:tcBorders>
              <w:top w:val="single" w:sz="4" w:space="0" w:color="auto"/>
              <w:left w:val="single" w:sz="4" w:space="0" w:color="auto"/>
              <w:bottom w:val="single" w:sz="4" w:space="0" w:color="auto"/>
              <w:right w:val="single" w:sz="4" w:space="0" w:color="auto"/>
            </w:tcBorders>
          </w:tcPr>
          <w:p w14:paraId="073AEFB1" w14:textId="77777777" w:rsidR="00907B4E" w:rsidRDefault="00907B4E" w:rsidP="008F6BAC"/>
        </w:tc>
        <w:tc>
          <w:tcPr>
            <w:tcW w:w="1155" w:type="dxa"/>
            <w:tcBorders>
              <w:top w:val="single" w:sz="4" w:space="0" w:color="auto"/>
              <w:left w:val="single" w:sz="4" w:space="0" w:color="auto"/>
              <w:bottom w:val="single" w:sz="4" w:space="0" w:color="auto"/>
              <w:right w:val="single" w:sz="4" w:space="0" w:color="auto"/>
            </w:tcBorders>
          </w:tcPr>
          <w:p w14:paraId="7B0A201B" w14:textId="6ACAE657" w:rsidR="00907B4E" w:rsidRPr="00907B4E" w:rsidRDefault="00907B4E" w:rsidP="008F6BAC">
            <w:pPr>
              <w:rPr>
                <w:b/>
                <w:bCs/>
              </w:rPr>
            </w:pPr>
            <w:r>
              <w:rPr>
                <w:b/>
                <w:bCs/>
              </w:rPr>
              <w:t>$230,815</w:t>
            </w:r>
          </w:p>
        </w:tc>
        <w:tc>
          <w:tcPr>
            <w:tcW w:w="910" w:type="dxa"/>
            <w:tcBorders>
              <w:top w:val="single" w:sz="4" w:space="0" w:color="auto"/>
              <w:left w:val="single" w:sz="4" w:space="0" w:color="auto"/>
              <w:bottom w:val="single" w:sz="4" w:space="0" w:color="auto"/>
              <w:right w:val="single" w:sz="4" w:space="0" w:color="auto"/>
            </w:tcBorders>
          </w:tcPr>
          <w:p w14:paraId="4E7E9E99" w14:textId="77777777" w:rsidR="00907B4E" w:rsidRDefault="00907B4E" w:rsidP="008F6BAC"/>
        </w:tc>
      </w:tr>
      <w:tr w:rsidR="00D320BC" w14:paraId="607EC1F3" w14:textId="3CDFF844" w:rsidTr="00D320BC">
        <w:tc>
          <w:tcPr>
            <w:tcW w:w="2605" w:type="dxa"/>
            <w:tcBorders>
              <w:top w:val="single" w:sz="4" w:space="0" w:color="auto"/>
              <w:left w:val="single" w:sz="4" w:space="0" w:color="auto"/>
              <w:bottom w:val="single" w:sz="4" w:space="0" w:color="auto"/>
              <w:right w:val="single" w:sz="4" w:space="0" w:color="auto"/>
            </w:tcBorders>
          </w:tcPr>
          <w:p w14:paraId="607EC1EF" w14:textId="20D74D62" w:rsidR="00D320BC" w:rsidRPr="00907B4E" w:rsidRDefault="00D320BC" w:rsidP="008F6BAC">
            <w:pPr>
              <w:rPr>
                <w:b/>
                <w:bCs/>
              </w:rPr>
            </w:pPr>
            <w:r w:rsidRPr="00907B4E">
              <w:rPr>
                <w:b/>
                <w:bCs/>
              </w:rPr>
              <w:t>Project total</w:t>
            </w:r>
            <w:r w:rsidR="00907B4E" w:rsidRPr="00907B4E">
              <w:rPr>
                <w:b/>
                <w:bCs/>
              </w:rPr>
              <w:t xml:space="preserve"> cost</w:t>
            </w:r>
          </w:p>
        </w:tc>
        <w:tc>
          <w:tcPr>
            <w:tcW w:w="1260" w:type="dxa"/>
            <w:tcBorders>
              <w:top w:val="single" w:sz="4" w:space="0" w:color="auto"/>
              <w:left w:val="single" w:sz="4" w:space="0" w:color="auto"/>
              <w:bottom w:val="single" w:sz="4" w:space="0" w:color="auto"/>
              <w:right w:val="single" w:sz="4" w:space="0" w:color="auto"/>
            </w:tcBorders>
          </w:tcPr>
          <w:p w14:paraId="607EC1F0" w14:textId="67DCDAF2" w:rsidR="00D320BC" w:rsidRPr="00907B4E" w:rsidRDefault="00D320BC" w:rsidP="008F6BAC">
            <w:pPr>
              <w:rPr>
                <w:b/>
                <w:bCs/>
              </w:rPr>
            </w:pPr>
            <w:r w:rsidRPr="00907B4E">
              <w:rPr>
                <w:b/>
                <w:bCs/>
              </w:rPr>
              <w:t>$</w:t>
            </w:r>
            <w:r w:rsidR="00B40F72" w:rsidRPr="00907B4E">
              <w:rPr>
                <w:b/>
                <w:bCs/>
              </w:rPr>
              <w:t>550,043</w:t>
            </w:r>
          </w:p>
        </w:tc>
        <w:tc>
          <w:tcPr>
            <w:tcW w:w="1260" w:type="dxa"/>
            <w:tcBorders>
              <w:top w:val="single" w:sz="4" w:space="0" w:color="auto"/>
              <w:left w:val="single" w:sz="4" w:space="0" w:color="auto"/>
              <w:bottom w:val="single" w:sz="4" w:space="0" w:color="auto"/>
              <w:right w:val="single" w:sz="4" w:space="0" w:color="auto"/>
            </w:tcBorders>
          </w:tcPr>
          <w:p w14:paraId="607EC1F1" w14:textId="77777777" w:rsidR="00D320BC" w:rsidRPr="00907B4E" w:rsidRDefault="00D320BC" w:rsidP="008F6BAC">
            <w:pPr>
              <w:rPr>
                <w:b/>
                <w:bCs/>
              </w:rPr>
            </w:pPr>
          </w:p>
        </w:tc>
        <w:tc>
          <w:tcPr>
            <w:tcW w:w="1252" w:type="dxa"/>
            <w:tcBorders>
              <w:top w:val="single" w:sz="4" w:space="0" w:color="auto"/>
              <w:left w:val="single" w:sz="4" w:space="0" w:color="auto"/>
              <w:bottom w:val="single" w:sz="4" w:space="0" w:color="auto"/>
              <w:right w:val="single" w:sz="4" w:space="0" w:color="auto"/>
            </w:tcBorders>
          </w:tcPr>
          <w:p w14:paraId="0C8C097F" w14:textId="54402A59" w:rsidR="00D320BC" w:rsidRPr="00907B4E" w:rsidRDefault="00D320BC" w:rsidP="008F6BAC">
            <w:pPr>
              <w:rPr>
                <w:b/>
                <w:bCs/>
              </w:rPr>
            </w:pPr>
            <w:r w:rsidRPr="00907B4E">
              <w:rPr>
                <w:b/>
                <w:bCs/>
              </w:rPr>
              <w:t>$</w:t>
            </w:r>
            <w:r w:rsidR="00F47006">
              <w:rPr>
                <w:b/>
                <w:bCs/>
              </w:rPr>
              <w:t>474,410</w:t>
            </w:r>
          </w:p>
        </w:tc>
        <w:tc>
          <w:tcPr>
            <w:tcW w:w="908" w:type="dxa"/>
            <w:tcBorders>
              <w:top w:val="single" w:sz="4" w:space="0" w:color="auto"/>
              <w:left w:val="single" w:sz="4" w:space="0" w:color="auto"/>
              <w:bottom w:val="single" w:sz="4" w:space="0" w:color="auto"/>
              <w:right w:val="single" w:sz="4" w:space="0" w:color="auto"/>
            </w:tcBorders>
          </w:tcPr>
          <w:p w14:paraId="607EC1F2" w14:textId="4F8DC359" w:rsidR="00D320BC" w:rsidRPr="00907B4E" w:rsidRDefault="00D320BC" w:rsidP="008F6BAC">
            <w:pPr>
              <w:rPr>
                <w:b/>
                <w:bCs/>
              </w:rPr>
            </w:pPr>
          </w:p>
        </w:tc>
        <w:tc>
          <w:tcPr>
            <w:tcW w:w="1155" w:type="dxa"/>
            <w:tcBorders>
              <w:top w:val="single" w:sz="4" w:space="0" w:color="auto"/>
              <w:left w:val="single" w:sz="4" w:space="0" w:color="auto"/>
              <w:bottom w:val="single" w:sz="4" w:space="0" w:color="auto"/>
              <w:right w:val="single" w:sz="4" w:space="0" w:color="auto"/>
            </w:tcBorders>
          </w:tcPr>
          <w:p w14:paraId="5FC99673" w14:textId="1979BED7" w:rsidR="00D320BC" w:rsidRPr="00907B4E" w:rsidRDefault="00D320BC" w:rsidP="008F6BAC">
            <w:pPr>
              <w:rPr>
                <w:b/>
                <w:bCs/>
              </w:rPr>
            </w:pPr>
            <w:r w:rsidRPr="00907B4E">
              <w:rPr>
                <w:b/>
                <w:bCs/>
              </w:rPr>
              <w:t>$</w:t>
            </w:r>
            <w:r w:rsidR="00A92B78">
              <w:rPr>
                <w:b/>
                <w:bCs/>
              </w:rPr>
              <w:t>902,843</w:t>
            </w:r>
          </w:p>
        </w:tc>
        <w:tc>
          <w:tcPr>
            <w:tcW w:w="910" w:type="dxa"/>
            <w:tcBorders>
              <w:top w:val="single" w:sz="4" w:space="0" w:color="auto"/>
              <w:left w:val="single" w:sz="4" w:space="0" w:color="auto"/>
              <w:bottom w:val="single" w:sz="4" w:space="0" w:color="auto"/>
              <w:right w:val="single" w:sz="4" w:space="0" w:color="auto"/>
            </w:tcBorders>
          </w:tcPr>
          <w:p w14:paraId="77441D72" w14:textId="77777777" w:rsidR="00D320BC" w:rsidRDefault="00D320BC" w:rsidP="008F6BAC"/>
        </w:tc>
      </w:tr>
    </w:tbl>
    <w:p w14:paraId="1391D5C6" w14:textId="2CEB85A3" w:rsidR="00462BDD" w:rsidRPr="00F800B4" w:rsidRDefault="008F6BAC" w:rsidP="008F6BAC">
      <w:pPr>
        <w:spacing w:after="0" w:line="240" w:lineRule="auto"/>
      </w:pPr>
      <w:r>
        <w:t xml:space="preserve"> </w:t>
      </w:r>
    </w:p>
    <w:p w14:paraId="19B10632" w14:textId="61AE7D07" w:rsidR="00F800B4" w:rsidRPr="00F800B4" w:rsidRDefault="00F800B4" w:rsidP="008F6BAC">
      <w:pPr>
        <w:spacing w:after="0" w:line="240" w:lineRule="auto"/>
        <w:rPr>
          <w:b/>
          <w:u w:val="single"/>
        </w:rPr>
      </w:pPr>
      <w:r w:rsidRPr="00F800B4">
        <w:rPr>
          <w:b/>
          <w:u w:val="single"/>
        </w:rPr>
        <w:t xml:space="preserve">All requests: </w:t>
      </w:r>
    </w:p>
    <w:p w14:paraId="5A82A987" w14:textId="77777777" w:rsidR="00F800B4" w:rsidRDefault="00F800B4" w:rsidP="008F6BAC">
      <w:pPr>
        <w:spacing w:after="0" w:line="240" w:lineRule="auto"/>
        <w:rPr>
          <w:b/>
        </w:rPr>
      </w:pPr>
    </w:p>
    <w:p w14:paraId="478B58BA" w14:textId="34742EEB" w:rsidR="001935F1" w:rsidRPr="00B40F72" w:rsidRDefault="00A72AD0" w:rsidP="001935F1">
      <w:pPr>
        <w:pStyle w:val="ListParagraph"/>
        <w:numPr>
          <w:ilvl w:val="0"/>
          <w:numId w:val="5"/>
        </w:numPr>
        <w:spacing w:after="0" w:line="240" w:lineRule="auto"/>
        <w:rPr>
          <w:rFonts w:ascii="Times New Roman" w:hAnsi="Times New Roman" w:cs="Times New Roman"/>
        </w:rPr>
      </w:pPr>
      <w:r w:rsidRPr="00F800B4">
        <w:t xml:space="preserve">Brief project summary: </w:t>
      </w:r>
      <w:r w:rsidR="00157280" w:rsidRPr="00B40F72">
        <w:rPr>
          <w:rFonts w:ascii="Times New Roman" w:hAnsi="Times New Roman" w:cs="Times New Roman"/>
        </w:rPr>
        <w:t>remove a large barge and bulkhead from the base of a feeder bluff. The structure extends waterward 98 feet from the toe of the bluff and 136 feet alongshore. Installed in the late 1960’s, placement of the barge along the shoreline created an elevated lawn near the beach for residents of the community. The structure has since deteriorated creating a safety hazard and is an impediment to shoreline processes and habitats. Removal will expose a sandy beach suitable for forage fish spawning and will improve nearshore habitats useful for migrating juvenile salmonids.</w:t>
      </w:r>
    </w:p>
    <w:p w14:paraId="47D7BFDF" w14:textId="77777777" w:rsidR="001935F1" w:rsidRDefault="001935F1" w:rsidP="001935F1">
      <w:pPr>
        <w:pStyle w:val="ListParagraph"/>
      </w:pPr>
    </w:p>
    <w:p w14:paraId="01A51436" w14:textId="6948381E" w:rsidR="00F800B4" w:rsidRPr="00B40F72" w:rsidRDefault="00A72AD0" w:rsidP="00F800B4">
      <w:pPr>
        <w:pStyle w:val="ListParagraph"/>
        <w:numPr>
          <w:ilvl w:val="0"/>
          <w:numId w:val="5"/>
        </w:numPr>
        <w:spacing w:after="0" w:line="240" w:lineRule="auto"/>
        <w:rPr>
          <w:rFonts w:ascii="Times New Roman" w:hAnsi="Times New Roman" w:cs="Times New Roman"/>
        </w:rPr>
      </w:pPr>
      <w:r w:rsidRPr="00F800B4">
        <w:t>Current project progress</w:t>
      </w:r>
      <w:r w:rsidR="00364424">
        <w:t xml:space="preserve"> (as of Nov XXX)</w:t>
      </w:r>
      <w:r w:rsidRPr="00F800B4">
        <w:t xml:space="preserve">: </w:t>
      </w:r>
      <w:r w:rsidR="00157280" w:rsidRPr="00B40F72">
        <w:rPr>
          <w:rFonts w:ascii="Times New Roman" w:hAnsi="Times New Roman" w:cs="Times New Roman"/>
        </w:rPr>
        <w:t xml:space="preserve">Excavation of fill has </w:t>
      </w:r>
      <w:proofErr w:type="gramStart"/>
      <w:r w:rsidR="00157280" w:rsidRPr="00B40F72">
        <w:rPr>
          <w:rFonts w:ascii="Times New Roman" w:hAnsi="Times New Roman" w:cs="Times New Roman"/>
        </w:rPr>
        <w:t>begun, but</w:t>
      </w:r>
      <w:proofErr w:type="gramEnd"/>
      <w:r w:rsidR="00157280" w:rsidRPr="00B40F72">
        <w:rPr>
          <w:rFonts w:ascii="Times New Roman" w:hAnsi="Times New Roman" w:cs="Times New Roman"/>
        </w:rPr>
        <w:t xml:space="preserve"> has been delayed while the contractor identified an alternate offloading site and additional funding was secured for the extra fill material removal.</w:t>
      </w:r>
      <w:r w:rsidR="00B40F72" w:rsidRPr="00B40F72">
        <w:rPr>
          <w:rFonts w:ascii="Times New Roman" w:hAnsi="Times New Roman" w:cs="Times New Roman"/>
        </w:rPr>
        <w:t xml:space="preserve"> Construction is scheduled to resume on Monday, November 30.</w:t>
      </w:r>
    </w:p>
    <w:p w14:paraId="4BC04CC4" w14:textId="68829316" w:rsidR="00CF16A8" w:rsidRPr="00CF16A8" w:rsidRDefault="00F800B4" w:rsidP="00CF16A8">
      <w:pPr>
        <w:spacing w:after="0" w:line="240" w:lineRule="auto"/>
        <w:rPr>
          <w:b/>
          <w:u w:val="single"/>
        </w:rPr>
      </w:pPr>
      <w:r w:rsidRPr="00F800B4">
        <w:rPr>
          <w:b/>
          <w:u w:val="single"/>
        </w:rPr>
        <w:lastRenderedPageBreak/>
        <w:t xml:space="preserve">Cost increases: </w:t>
      </w:r>
    </w:p>
    <w:p w14:paraId="63E47950" w14:textId="77777777" w:rsidR="00CF16A8" w:rsidRDefault="00CF16A8" w:rsidP="00CF16A8">
      <w:pPr>
        <w:pStyle w:val="ListParagraph"/>
        <w:spacing w:after="0" w:line="240" w:lineRule="auto"/>
      </w:pPr>
    </w:p>
    <w:p w14:paraId="607EC20F" w14:textId="755DBC7C" w:rsidR="00A72AD0" w:rsidRPr="00F800B4" w:rsidRDefault="00CF16A8" w:rsidP="00F800B4">
      <w:pPr>
        <w:pStyle w:val="ListParagraph"/>
        <w:numPr>
          <w:ilvl w:val="0"/>
          <w:numId w:val="3"/>
        </w:numPr>
        <w:spacing w:after="0" w:line="240" w:lineRule="auto"/>
      </w:pPr>
      <w:r>
        <w:t>R</w:t>
      </w:r>
      <w:r w:rsidR="00A72AD0" w:rsidRPr="00F800B4">
        <w:t xml:space="preserve">eason </w:t>
      </w:r>
      <w:r w:rsidR="00A90E37">
        <w:t xml:space="preserve">and justification </w:t>
      </w:r>
      <w:r w:rsidR="00A72AD0" w:rsidRPr="00F800B4">
        <w:t>for cost increase</w:t>
      </w:r>
      <w:r w:rsidR="00A90E37">
        <w:t xml:space="preserve"> (</w:t>
      </w:r>
      <w:r w:rsidR="00A90E37">
        <w:rPr>
          <w:i/>
        </w:rPr>
        <w:t>include any uncertainties</w:t>
      </w:r>
      <w:r w:rsidR="00A90E37">
        <w:t>)</w:t>
      </w:r>
      <w:r w:rsidR="00A72AD0" w:rsidRPr="00F800B4">
        <w:t xml:space="preserve">: </w:t>
      </w:r>
    </w:p>
    <w:p w14:paraId="747DDAB4" w14:textId="77777777" w:rsidR="00157280" w:rsidRPr="00157280" w:rsidRDefault="00157280" w:rsidP="00157280">
      <w:pPr>
        <w:pStyle w:val="ListParagraph"/>
        <w:rPr>
          <w:rFonts w:ascii="Times New Roman" w:hAnsi="Times New Roman" w:cs="Times New Roman"/>
        </w:rPr>
      </w:pPr>
      <w:r w:rsidRPr="00157280">
        <w:rPr>
          <w:rFonts w:ascii="Times New Roman" w:hAnsi="Times New Roman" w:cs="Times New Roman"/>
        </w:rPr>
        <w:t xml:space="preserve">It has been determined that engineering calculations to determine the volume of fill inside the barge were grossly underestimated. Original assumptions were that </w:t>
      </w:r>
      <w:proofErr w:type="gramStart"/>
      <w:r w:rsidRPr="00157280">
        <w:rPr>
          <w:rFonts w:ascii="Times New Roman" w:hAnsi="Times New Roman" w:cs="Times New Roman"/>
        </w:rPr>
        <w:t>the majority of</w:t>
      </w:r>
      <w:proofErr w:type="gramEnd"/>
      <w:r w:rsidRPr="00157280">
        <w:rPr>
          <w:rFonts w:ascii="Times New Roman" w:hAnsi="Times New Roman" w:cs="Times New Roman"/>
        </w:rPr>
        <w:t xml:space="preserve"> the barge segment of the site consisted only of the wooden barge structure plus a minor amount of fill. Coastal Geologic Services calculated approximately 400 tons of potentially creosote-treated material that would need to be removed from the barge and hauled offsite for upland disposal.</w:t>
      </w:r>
    </w:p>
    <w:p w14:paraId="607EC210" w14:textId="0CB1F331" w:rsidR="00A72AD0" w:rsidRDefault="00157280" w:rsidP="00157280">
      <w:pPr>
        <w:pStyle w:val="ListParagraph"/>
        <w:rPr>
          <w:rFonts w:ascii="Times New Roman" w:hAnsi="Times New Roman" w:cs="Times New Roman"/>
        </w:rPr>
      </w:pPr>
      <w:r w:rsidRPr="00157280">
        <w:rPr>
          <w:rFonts w:ascii="Times New Roman" w:hAnsi="Times New Roman" w:cs="Times New Roman"/>
        </w:rPr>
        <w:t xml:space="preserve">Once excavation began, it was determined that the entirety of the barge area was filled with sandy sediment and is likely to also contain creosote due to the deterioration of the wooden structure over time. The new estimate assumes over 2,500 tons of material are present within the barge. Due to the potential for creosote contamination, these materials </w:t>
      </w:r>
      <w:r w:rsidR="00364424">
        <w:rPr>
          <w:rFonts w:ascii="Times New Roman" w:hAnsi="Times New Roman" w:cs="Times New Roman"/>
        </w:rPr>
        <w:t>may not</w:t>
      </w:r>
      <w:r w:rsidR="00364424" w:rsidRPr="00157280">
        <w:rPr>
          <w:rFonts w:ascii="Times New Roman" w:hAnsi="Times New Roman" w:cs="Times New Roman"/>
        </w:rPr>
        <w:t xml:space="preserve"> </w:t>
      </w:r>
      <w:r w:rsidRPr="00157280">
        <w:rPr>
          <w:rFonts w:ascii="Times New Roman" w:hAnsi="Times New Roman" w:cs="Times New Roman"/>
        </w:rPr>
        <w:t xml:space="preserve">be </w:t>
      </w:r>
      <w:r w:rsidR="00364424">
        <w:rPr>
          <w:rFonts w:ascii="Times New Roman" w:hAnsi="Times New Roman" w:cs="Times New Roman"/>
        </w:rPr>
        <w:t>suitable</w:t>
      </w:r>
      <w:r w:rsidR="00364424" w:rsidRPr="00157280">
        <w:rPr>
          <w:rFonts w:ascii="Times New Roman" w:hAnsi="Times New Roman" w:cs="Times New Roman"/>
        </w:rPr>
        <w:t xml:space="preserve"> </w:t>
      </w:r>
      <w:r w:rsidRPr="00157280">
        <w:rPr>
          <w:rFonts w:ascii="Times New Roman" w:hAnsi="Times New Roman" w:cs="Times New Roman"/>
        </w:rPr>
        <w:t>as beach nourishment. We submitted samples to a lab to see if some of the sand can be placed on the beach.</w:t>
      </w:r>
      <w:r>
        <w:rPr>
          <w:rFonts w:ascii="Times New Roman" w:hAnsi="Times New Roman" w:cs="Times New Roman"/>
        </w:rPr>
        <w:t xml:space="preserve"> </w:t>
      </w:r>
      <w:r w:rsidRPr="00157280">
        <w:rPr>
          <w:rFonts w:ascii="Times New Roman" w:hAnsi="Times New Roman" w:cs="Times New Roman"/>
        </w:rPr>
        <w:t>This is resulting in a total cost increase of $405,000 for the additional removal, barge operations, and disposal.</w:t>
      </w:r>
      <w:r w:rsidR="000C0D41">
        <w:rPr>
          <w:rFonts w:ascii="Times New Roman" w:hAnsi="Times New Roman" w:cs="Times New Roman"/>
        </w:rPr>
        <w:t xml:space="preserve"> The sponsor will only request $352,800 from RCO. </w:t>
      </w:r>
    </w:p>
    <w:p w14:paraId="2C5C98E1" w14:textId="77777777" w:rsidR="00157280" w:rsidRPr="00157280" w:rsidRDefault="00157280" w:rsidP="00157280">
      <w:pPr>
        <w:pStyle w:val="ListParagraph"/>
        <w:rPr>
          <w:rFonts w:ascii="Times New Roman" w:hAnsi="Times New Roman" w:cs="Times New Roman"/>
        </w:rPr>
      </w:pPr>
    </w:p>
    <w:p w14:paraId="607EC211" w14:textId="7EBA4468" w:rsidR="00A72AD0" w:rsidRDefault="00A72AD0" w:rsidP="00F800B4">
      <w:pPr>
        <w:pStyle w:val="ListParagraph"/>
        <w:numPr>
          <w:ilvl w:val="0"/>
          <w:numId w:val="3"/>
        </w:numPr>
        <w:spacing w:after="0" w:line="240" w:lineRule="auto"/>
      </w:pPr>
      <w:r w:rsidRPr="00F800B4">
        <w:t>Actions taken to control c</w:t>
      </w:r>
      <w:r w:rsidR="00462BDD" w:rsidRPr="00F800B4">
        <w:t>osts or</w:t>
      </w:r>
      <w:r w:rsidR="006E1385" w:rsidRPr="00F800B4">
        <w:t xml:space="preserve"> </w:t>
      </w:r>
      <w:r w:rsidRPr="00F800B4">
        <w:t>l</w:t>
      </w:r>
      <w:r w:rsidR="006E1385" w:rsidRPr="00F800B4">
        <w:t>imit the cost increase</w:t>
      </w:r>
      <w:r w:rsidRPr="00F800B4">
        <w:t xml:space="preserve">: </w:t>
      </w:r>
      <w:r w:rsidR="00F97CB2" w:rsidRPr="00F800B4">
        <w:t>(</w:t>
      </w:r>
      <w:r w:rsidR="00F97CB2" w:rsidRPr="00F800B4">
        <w:rPr>
          <w:i/>
        </w:rPr>
        <w:t>include any other funding sources pursued</w:t>
      </w:r>
      <w:r w:rsidR="00F97CB2">
        <w:t>)</w:t>
      </w:r>
      <w:r w:rsidR="00157280">
        <w:t xml:space="preserve">: </w:t>
      </w:r>
    </w:p>
    <w:p w14:paraId="4ADF3FB8" w14:textId="1DE8FB73" w:rsidR="00157280" w:rsidRPr="00861E6C" w:rsidRDefault="0033757B" w:rsidP="00157280">
      <w:pPr>
        <w:pStyle w:val="ListParagraph"/>
        <w:spacing w:after="0" w:line="240" w:lineRule="auto"/>
        <w:rPr>
          <w:rFonts w:ascii="Times New Roman" w:hAnsi="Times New Roman" w:cs="Times New Roman"/>
        </w:rPr>
      </w:pPr>
      <w:r>
        <w:rPr>
          <w:rFonts w:ascii="Times New Roman" w:hAnsi="Times New Roman" w:cs="Times New Roman"/>
        </w:rPr>
        <w:t xml:space="preserve">It </w:t>
      </w:r>
      <w:proofErr w:type="gramStart"/>
      <w:r>
        <w:rPr>
          <w:rFonts w:ascii="Times New Roman" w:hAnsi="Times New Roman" w:cs="Times New Roman"/>
        </w:rPr>
        <w:t>order</w:t>
      </w:r>
      <w:proofErr w:type="gramEnd"/>
      <w:r>
        <w:rPr>
          <w:rFonts w:ascii="Times New Roman" w:hAnsi="Times New Roman" w:cs="Times New Roman"/>
        </w:rPr>
        <w:t xml:space="preserve"> to reduce the cost of s</w:t>
      </w:r>
      <w:r w:rsidR="00364424">
        <w:rPr>
          <w:rFonts w:ascii="Times New Roman" w:hAnsi="Times New Roman" w:cs="Times New Roman"/>
        </w:rPr>
        <w:t>ediment disposal</w:t>
      </w:r>
      <w:r>
        <w:rPr>
          <w:rFonts w:ascii="Times New Roman" w:hAnsi="Times New Roman" w:cs="Times New Roman"/>
        </w:rPr>
        <w:t xml:space="preserve">, we are working to determine it any would be suitable for use on site as beach nourishment.  </w:t>
      </w:r>
      <w:r w:rsidR="00157280" w:rsidRPr="00FB7369">
        <w:rPr>
          <w:rFonts w:ascii="Times New Roman" w:hAnsi="Times New Roman" w:cs="Times New Roman"/>
        </w:rPr>
        <w:t xml:space="preserve">Additional sediment samples were taken to determine if any of the extra fill material is clean enough (free of creosote) to use for beach nourishment. Lab results </w:t>
      </w:r>
      <w:r w:rsidR="00364424">
        <w:rPr>
          <w:rFonts w:ascii="Times New Roman" w:hAnsi="Times New Roman" w:cs="Times New Roman"/>
        </w:rPr>
        <w:t xml:space="preserve">determined </w:t>
      </w:r>
      <w:r w:rsidR="00364424" w:rsidRPr="00861E6C">
        <w:rPr>
          <w:rFonts w:ascii="Times New Roman" w:hAnsi="Times New Roman" w:cs="Times New Roman"/>
        </w:rPr>
        <w:t xml:space="preserve">that contaminant levels are below MTCA levels.  We received approval from DNR to use the materials on the beach, but we are working with the contractor and engineer to finalize quantities. We want to make sure we can screen out debris from the </w:t>
      </w:r>
      <w:proofErr w:type="gramStart"/>
      <w:r w:rsidR="00364424" w:rsidRPr="00861E6C">
        <w:rPr>
          <w:rFonts w:ascii="Times New Roman" w:hAnsi="Times New Roman" w:cs="Times New Roman"/>
        </w:rPr>
        <w:t>sediment</w:t>
      </w:r>
      <w:proofErr w:type="gramEnd"/>
      <w:r w:rsidR="00364424" w:rsidRPr="00861E6C">
        <w:rPr>
          <w:rFonts w:ascii="Times New Roman" w:hAnsi="Times New Roman" w:cs="Times New Roman"/>
        </w:rPr>
        <w:t xml:space="preserve"> so we are not placing the barge debris on the beach.</w:t>
      </w:r>
    </w:p>
    <w:p w14:paraId="14B78643" w14:textId="77777777" w:rsidR="00FB7369" w:rsidRPr="00FB7369" w:rsidRDefault="00FB7369" w:rsidP="00157280">
      <w:pPr>
        <w:pStyle w:val="ListParagraph"/>
        <w:spacing w:after="0" w:line="240" w:lineRule="auto"/>
        <w:rPr>
          <w:rFonts w:ascii="Times New Roman" w:hAnsi="Times New Roman" w:cs="Times New Roman"/>
        </w:rPr>
      </w:pPr>
    </w:p>
    <w:p w14:paraId="35634EC7" w14:textId="5DDEBC7F" w:rsidR="00FB7369" w:rsidRPr="00FB7369" w:rsidRDefault="00FB7369" w:rsidP="00FB7369">
      <w:pPr>
        <w:ind w:firstLine="720"/>
        <w:rPr>
          <w:rFonts w:ascii="Times New Roman" w:hAnsi="Times New Roman" w:cs="Times New Roman"/>
        </w:rPr>
      </w:pPr>
      <w:r>
        <w:rPr>
          <w:rFonts w:ascii="Times New Roman" w:hAnsi="Times New Roman" w:cs="Times New Roman"/>
        </w:rPr>
        <w:t xml:space="preserve">We have contacted all other funders to see if supplemental funding is available: </w:t>
      </w:r>
    </w:p>
    <w:p w14:paraId="3DD1EE20" w14:textId="77777777" w:rsidR="00FB7369" w:rsidRDefault="00FB7369" w:rsidP="00FB7369">
      <w:pPr>
        <w:pStyle w:val="ListParagraph"/>
        <w:numPr>
          <w:ilvl w:val="0"/>
          <w:numId w:val="6"/>
        </w:numPr>
        <w:spacing w:after="200" w:line="276" w:lineRule="auto"/>
        <w:rPr>
          <w:rFonts w:ascii="Times New Roman" w:hAnsi="Times New Roman" w:cs="Times New Roman"/>
        </w:rPr>
      </w:pPr>
      <w:r w:rsidRPr="003A2F20">
        <w:rPr>
          <w:rFonts w:ascii="Times New Roman" w:hAnsi="Times New Roman" w:cs="Times New Roman"/>
        </w:rPr>
        <w:t xml:space="preserve">USFWS is looking into the request, but their funding structure does not </w:t>
      </w:r>
      <w:r>
        <w:rPr>
          <w:rFonts w:ascii="Times New Roman" w:hAnsi="Times New Roman" w:cs="Times New Roman"/>
        </w:rPr>
        <w:t>usually allow for additional funds</w:t>
      </w:r>
    </w:p>
    <w:p w14:paraId="4329508C" w14:textId="44F24FB2" w:rsidR="00A90E37" w:rsidRDefault="00FB7369" w:rsidP="00FB7369">
      <w:pPr>
        <w:pStyle w:val="ListParagraph"/>
        <w:numPr>
          <w:ilvl w:val="0"/>
          <w:numId w:val="6"/>
        </w:numPr>
        <w:spacing w:after="200" w:line="276" w:lineRule="auto"/>
        <w:rPr>
          <w:rFonts w:ascii="Times New Roman" w:hAnsi="Times New Roman" w:cs="Times New Roman"/>
        </w:rPr>
      </w:pPr>
      <w:r>
        <w:rPr>
          <w:rFonts w:ascii="Times New Roman" w:hAnsi="Times New Roman" w:cs="Times New Roman"/>
        </w:rPr>
        <w:t>WDNR Aquatic Restoration Program: All funding was reallocated to the general fund to support Covid-19 deficits.</w:t>
      </w:r>
    </w:p>
    <w:p w14:paraId="1EE8274C" w14:textId="13843B41" w:rsidR="00FB7369" w:rsidRDefault="00FB7369" w:rsidP="00FB7369">
      <w:pPr>
        <w:pStyle w:val="ListParagraph"/>
        <w:numPr>
          <w:ilvl w:val="0"/>
          <w:numId w:val="6"/>
        </w:numPr>
        <w:spacing w:after="200" w:line="276" w:lineRule="auto"/>
        <w:rPr>
          <w:rFonts w:ascii="Times New Roman" w:hAnsi="Times New Roman" w:cs="Times New Roman"/>
        </w:rPr>
      </w:pPr>
      <w:r>
        <w:rPr>
          <w:rFonts w:ascii="Times New Roman" w:hAnsi="Times New Roman" w:cs="Times New Roman"/>
        </w:rPr>
        <w:t>Offered transfer of funds from other NWSF sponsored projects:</w:t>
      </w:r>
    </w:p>
    <w:p w14:paraId="52E1ECFA" w14:textId="4B6C0D92" w:rsidR="00FB7369" w:rsidRPr="00FB7369" w:rsidRDefault="00FB7369" w:rsidP="00FB7369">
      <w:pPr>
        <w:pStyle w:val="ListParagraph"/>
        <w:numPr>
          <w:ilvl w:val="1"/>
          <w:numId w:val="6"/>
        </w:numPr>
        <w:spacing w:after="200" w:line="276" w:lineRule="auto"/>
        <w:rPr>
          <w:rFonts w:ascii="Times New Roman" w:hAnsi="Times New Roman" w:cs="Times New Roman"/>
        </w:rPr>
      </w:pPr>
      <w:r>
        <w:rPr>
          <w:rFonts w:ascii="Times New Roman" w:hAnsi="Times New Roman" w:cs="Times New Roman"/>
        </w:rPr>
        <w:t xml:space="preserve">NWSF has approximately $28,000 in unspent funds from our Sunlight Shores project that could be returned and transferred to this project. We are also willing to withdraw the Hidden Beach project </w:t>
      </w:r>
      <w:proofErr w:type="gramStart"/>
      <w:r>
        <w:rPr>
          <w:rFonts w:ascii="Times New Roman" w:hAnsi="Times New Roman" w:cs="Times New Roman"/>
        </w:rPr>
        <w:t>at this time</w:t>
      </w:r>
      <w:proofErr w:type="gramEnd"/>
      <w:r>
        <w:rPr>
          <w:rFonts w:ascii="Times New Roman" w:hAnsi="Times New Roman" w:cs="Times New Roman"/>
        </w:rPr>
        <w:t xml:space="preserve"> and transfer those funds to Seahorse Siesta ($128,800).</w:t>
      </w:r>
    </w:p>
    <w:p w14:paraId="42514598" w14:textId="72021DC8" w:rsidR="001935F1" w:rsidRPr="001935F1" w:rsidRDefault="00A90E37" w:rsidP="00B36837">
      <w:pPr>
        <w:pStyle w:val="ListParagraph"/>
        <w:numPr>
          <w:ilvl w:val="0"/>
          <w:numId w:val="3"/>
        </w:numPr>
        <w:spacing w:after="0" w:line="240" w:lineRule="auto"/>
      </w:pPr>
      <w:r>
        <w:t xml:space="preserve">Number of cost increases that have been previously requested for this project: </w:t>
      </w:r>
      <w:r w:rsidR="00FB7369">
        <w:t>None</w:t>
      </w:r>
    </w:p>
    <w:p w14:paraId="607EC21D" w14:textId="77777777" w:rsidR="00A72AD0" w:rsidRDefault="00A72AD0" w:rsidP="008F6BAC">
      <w:pPr>
        <w:spacing w:after="0" w:line="240" w:lineRule="auto"/>
      </w:pPr>
    </w:p>
    <w:p w14:paraId="607EC21F" w14:textId="183E3991" w:rsidR="00F97146" w:rsidRDefault="003501A8" w:rsidP="008F6BAC">
      <w:pPr>
        <w:spacing w:after="0" w:line="240" w:lineRule="auto"/>
        <w:rPr>
          <w:b/>
        </w:rPr>
      </w:pPr>
      <w:r>
        <w:rPr>
          <w:b/>
        </w:rPr>
        <w:t>OGM comments:</w:t>
      </w:r>
    </w:p>
    <w:p w14:paraId="26334027" w14:textId="5548C28B" w:rsidR="003501A8" w:rsidRDefault="0033757B" w:rsidP="008F6BAC">
      <w:pPr>
        <w:spacing w:after="0" w:line="240" w:lineRule="auto"/>
        <w:rPr>
          <w:bCs/>
        </w:rPr>
      </w:pPr>
      <w:r w:rsidRPr="007771FB">
        <w:rPr>
          <w:bCs/>
        </w:rPr>
        <w:t xml:space="preserve">Since leaving some or all of the structure in place in order to stay within the existing budget would present a lost opportunity and fail to meet the objectives of the project and PSAR and ESRP grant programs, the sponsor, lead entity and RCO staff are pursuing all possible alternatives to make up for the </w:t>
      </w:r>
      <w:r>
        <w:rPr>
          <w:bCs/>
        </w:rPr>
        <w:t xml:space="preserve">project </w:t>
      </w:r>
      <w:r w:rsidRPr="007771FB">
        <w:rPr>
          <w:bCs/>
        </w:rPr>
        <w:t>shortfall.</w:t>
      </w:r>
      <w:r>
        <w:rPr>
          <w:bCs/>
        </w:rPr>
        <w:t xml:space="preserve">  The sponsor has </w:t>
      </w:r>
      <w:r w:rsidR="005561AB">
        <w:rPr>
          <w:bCs/>
        </w:rPr>
        <w:t xml:space="preserve">additional matching funds and has </w:t>
      </w:r>
      <w:r>
        <w:rPr>
          <w:bCs/>
        </w:rPr>
        <w:t xml:space="preserve">offered to </w:t>
      </w:r>
      <w:r w:rsidR="008F4D44">
        <w:rPr>
          <w:bCs/>
        </w:rPr>
        <w:t>release unused funds from existing project 17-1064 (name?)</w:t>
      </w:r>
      <w:r w:rsidR="005561AB">
        <w:rPr>
          <w:bCs/>
        </w:rPr>
        <w:t xml:space="preserve"> and</w:t>
      </w:r>
      <w:r w:rsidR="008F4D44">
        <w:rPr>
          <w:bCs/>
        </w:rPr>
        <w:t xml:space="preserve"> withdraw </w:t>
      </w:r>
      <w:proofErr w:type="gramStart"/>
      <w:r w:rsidR="008F4D44">
        <w:rPr>
          <w:bCs/>
        </w:rPr>
        <w:t>recently</w:t>
      </w:r>
      <w:r w:rsidR="005561AB">
        <w:rPr>
          <w:bCs/>
        </w:rPr>
        <w:t>-</w:t>
      </w:r>
      <w:r w:rsidR="008F4D44">
        <w:rPr>
          <w:bCs/>
        </w:rPr>
        <w:t>funded</w:t>
      </w:r>
      <w:proofErr w:type="gramEnd"/>
      <w:r w:rsidR="008F4D44">
        <w:rPr>
          <w:bCs/>
        </w:rPr>
        <w:t xml:space="preserve"> project 19-1342 (Hidden Beach Shoreline Restoration)</w:t>
      </w:r>
      <w:r w:rsidR="005561AB">
        <w:rPr>
          <w:bCs/>
        </w:rPr>
        <w:t xml:space="preserve"> in an effort to fill the funding deficit.  The lead entity approved those </w:t>
      </w:r>
      <w:r w:rsidR="005561AB">
        <w:rPr>
          <w:bCs/>
        </w:rPr>
        <w:lastRenderedPageBreak/>
        <w:t xml:space="preserve">changes.  The ESRP program has committed to a $100,000 cost increase once surplus ESRP funds are returned from another project that will close out shortly. </w:t>
      </w:r>
    </w:p>
    <w:p w14:paraId="635C244A" w14:textId="77777777" w:rsidR="005561AB" w:rsidRPr="007771FB" w:rsidRDefault="005561AB" w:rsidP="008F6BAC">
      <w:pPr>
        <w:spacing w:after="0" w:line="240" w:lineRule="auto"/>
        <w:rPr>
          <w:bCs/>
        </w:rPr>
      </w:pPr>
    </w:p>
    <w:p w14:paraId="467A052E" w14:textId="30EDD2EC" w:rsidR="003501A8" w:rsidRDefault="009A07CF" w:rsidP="007771FB">
      <w:pPr>
        <w:spacing w:after="0" w:line="240" w:lineRule="auto"/>
        <w:ind w:left="720"/>
        <w:rPr>
          <w:b/>
        </w:rPr>
      </w:pPr>
      <w:r>
        <w:rPr>
          <w:b/>
        </w:rPr>
        <w:t>17-1064—</w:t>
      </w:r>
      <w:r w:rsidR="003501A8" w:rsidRPr="003501A8">
        <w:rPr>
          <w:b/>
        </w:rPr>
        <w:t>Move $</w:t>
      </w:r>
      <w:r>
        <w:rPr>
          <w:b/>
        </w:rPr>
        <w:t>6</w:t>
      </w:r>
      <w:r w:rsidR="003501A8" w:rsidRPr="003501A8">
        <w:rPr>
          <w:b/>
        </w:rPr>
        <w:t>,000 total to project 16-1306 Seahorse Siesta Barge. This amendment will move $6,000 17-19 PSAR in order to address construction costs associated with additional sediment removal required to complete project. Funds not needed to complete the current scope of work associated with 17-1064.</w:t>
      </w:r>
    </w:p>
    <w:p w14:paraId="6A1A252E" w14:textId="08115671" w:rsidR="00C40D53" w:rsidRDefault="00C40D53" w:rsidP="007771FB">
      <w:pPr>
        <w:spacing w:after="0" w:line="240" w:lineRule="auto"/>
        <w:ind w:left="720"/>
        <w:rPr>
          <w:b/>
        </w:rPr>
      </w:pPr>
    </w:p>
    <w:p w14:paraId="1C2DE2C7" w14:textId="0D501E9F" w:rsidR="00C40D53" w:rsidRDefault="009A07CF" w:rsidP="007771FB">
      <w:pPr>
        <w:spacing w:after="0" w:line="240" w:lineRule="auto"/>
        <w:ind w:left="720"/>
        <w:rPr>
          <w:b/>
        </w:rPr>
      </w:pPr>
      <w:r>
        <w:rPr>
          <w:b/>
        </w:rPr>
        <w:t>19-1342—</w:t>
      </w:r>
      <w:r w:rsidR="00C40D53" w:rsidRPr="00C40D53">
        <w:rPr>
          <w:b/>
        </w:rPr>
        <w:t xml:space="preserve">Move $128,800 total to project 16-1306 Seahorse Siesta Barge. This amendment will </w:t>
      </w:r>
      <w:r w:rsidR="005561AB">
        <w:rPr>
          <w:b/>
        </w:rPr>
        <w:t xml:space="preserve">withdraw </w:t>
      </w:r>
      <w:r w:rsidR="00C40D53">
        <w:rPr>
          <w:b/>
        </w:rPr>
        <w:t xml:space="preserve">19-1342 and </w:t>
      </w:r>
      <w:r w:rsidR="00C40D53" w:rsidRPr="00C40D53">
        <w:rPr>
          <w:b/>
        </w:rPr>
        <w:t>move $28,800 19-21 PSAR and $100,000 19-21 PCSRF to 16-1306 in order to address construction costs associated with additional sediment removal required to complete project. Sponsor will withdraw 19-1342.</w:t>
      </w:r>
    </w:p>
    <w:p w14:paraId="7D60ED3A" w14:textId="0A79D4FE" w:rsidR="00182682" w:rsidRDefault="00182682" w:rsidP="007771FB">
      <w:pPr>
        <w:spacing w:after="0" w:line="240" w:lineRule="auto"/>
        <w:ind w:left="720"/>
        <w:rPr>
          <w:b/>
        </w:rPr>
      </w:pPr>
    </w:p>
    <w:p w14:paraId="7EECBEC1" w14:textId="0D5518D0" w:rsidR="00182682" w:rsidRDefault="00182682" w:rsidP="005561AB">
      <w:pPr>
        <w:spacing w:after="0" w:line="240" w:lineRule="auto"/>
        <w:rPr>
          <w:b/>
        </w:rPr>
      </w:pPr>
      <w:r>
        <w:rPr>
          <w:b/>
        </w:rPr>
        <w:t xml:space="preserve">Current </w:t>
      </w:r>
      <w:r w:rsidR="0033757B">
        <w:rPr>
          <w:b/>
        </w:rPr>
        <w:t xml:space="preserve">non-RCO </w:t>
      </w:r>
      <w:r>
        <w:rPr>
          <w:b/>
        </w:rPr>
        <w:t xml:space="preserve">match available for the project: </w:t>
      </w:r>
    </w:p>
    <w:p w14:paraId="702B90EE" w14:textId="77777777" w:rsidR="007650CE" w:rsidRDefault="00182682" w:rsidP="005561AB">
      <w:pPr>
        <w:ind w:left="720"/>
      </w:pPr>
      <w:r>
        <w:t>USFWS Puget Sound Coastal Program Grant: $50,000</w:t>
      </w:r>
    </w:p>
    <w:p w14:paraId="66E75877" w14:textId="3F746AA2" w:rsidR="00182682" w:rsidRDefault="00182682" w:rsidP="005561AB">
      <w:pPr>
        <w:ind w:left="720"/>
      </w:pPr>
      <w:r>
        <w:t>NFWF Grant: $9,000</w:t>
      </w:r>
    </w:p>
    <w:p w14:paraId="5439CB42" w14:textId="5263F09F" w:rsidR="00182682" w:rsidRDefault="00182682" w:rsidP="005561AB">
      <w:pPr>
        <w:ind w:left="720"/>
      </w:pPr>
      <w:r>
        <w:t>Private Donor Grant: $25,000</w:t>
      </w:r>
    </w:p>
    <w:p w14:paraId="7851982D" w14:textId="79931478" w:rsidR="00194B1B" w:rsidRPr="00194B1B" w:rsidRDefault="00194B1B" w:rsidP="005561AB">
      <w:pPr>
        <w:rPr>
          <w:b/>
          <w:bCs/>
        </w:rPr>
      </w:pPr>
      <w:r w:rsidRPr="00194B1B">
        <w:rPr>
          <w:b/>
          <w:bCs/>
        </w:rPr>
        <w:t>How Required Match for RCO Funds Will Be Met</w:t>
      </w:r>
    </w:p>
    <w:p w14:paraId="021047C3" w14:textId="2287CBDF" w:rsidR="00194B1B" w:rsidRPr="00194B1B" w:rsidRDefault="00194B1B" w:rsidP="005561AB">
      <w:pPr>
        <w:rPr>
          <w:i/>
          <w:iCs/>
        </w:rPr>
      </w:pPr>
      <w:r w:rsidRPr="00194B1B">
        <w:rPr>
          <w:i/>
          <w:iCs/>
        </w:rPr>
        <w:t>SRFB/PSAR</w:t>
      </w:r>
      <w:r w:rsidR="00AB493C">
        <w:rPr>
          <w:i/>
          <w:iCs/>
        </w:rPr>
        <w:t xml:space="preserve"> (15% match required)</w:t>
      </w:r>
    </w:p>
    <w:p w14:paraId="54685FA4" w14:textId="606F8373" w:rsidR="007650CE" w:rsidRDefault="007650CE" w:rsidP="005561AB">
      <w:r>
        <w:t>Notes on match. Based on SRFB</w:t>
      </w:r>
      <w:r w:rsidR="00194B1B">
        <w:t>+PSAR</w:t>
      </w:r>
      <w:r>
        <w:t xml:space="preserve"> funding total including the cost increase request = $</w:t>
      </w:r>
      <w:r w:rsidR="00A92B78" w:rsidRPr="00A92B78">
        <w:t>672,028</w:t>
      </w:r>
    </w:p>
    <w:p w14:paraId="322271FC" w14:textId="378897A3" w:rsidR="007650CE" w:rsidRDefault="00A92B78" w:rsidP="00AB493C">
      <w:pPr>
        <w:ind w:left="720"/>
      </w:pPr>
      <w:r w:rsidRPr="00A92B78">
        <w:t>672,028</w:t>
      </w:r>
      <w:r w:rsidR="007650CE">
        <w:t>/.85=</w:t>
      </w:r>
      <w:r>
        <w:t>790,622</w:t>
      </w:r>
      <w:r w:rsidR="007650CE">
        <w:t xml:space="preserve"> current project total </w:t>
      </w:r>
    </w:p>
    <w:p w14:paraId="3E0FE8CE" w14:textId="7EED50CB" w:rsidR="007650CE" w:rsidRDefault="00A92B78" w:rsidP="00AB493C">
      <w:pPr>
        <w:ind w:left="720"/>
      </w:pPr>
      <w:r>
        <w:t xml:space="preserve">790,622 </w:t>
      </w:r>
      <w:r w:rsidR="007650CE">
        <w:t>-</w:t>
      </w:r>
      <w:r w:rsidRPr="00A92B78">
        <w:t>672,028</w:t>
      </w:r>
      <w:r w:rsidR="007650CE">
        <w:t>=11</w:t>
      </w:r>
      <w:r>
        <w:t>8,594</w:t>
      </w:r>
      <w:r w:rsidR="007650CE">
        <w:t xml:space="preserve"> match required</w:t>
      </w:r>
    </w:p>
    <w:p w14:paraId="1A4AD6F0" w14:textId="1171CDF2" w:rsidR="009A07CF" w:rsidRDefault="007650CE" w:rsidP="005561AB">
      <w:r w:rsidRPr="00F47BE6">
        <w:rPr>
          <w:highlight w:val="cyan"/>
        </w:rPr>
        <w:t xml:space="preserve">Sponsor match = </w:t>
      </w:r>
      <w:r w:rsidR="00A92B78">
        <w:t>118,594</w:t>
      </w:r>
      <w:r w:rsidR="00340334" w:rsidRPr="00F47BE6">
        <w:rPr>
          <w:highlight w:val="cyan"/>
        </w:rPr>
        <w:t>required. Sponsor providing $84k which is 7</w:t>
      </w:r>
      <w:r w:rsidR="00A92B78">
        <w:rPr>
          <w:highlight w:val="cyan"/>
        </w:rPr>
        <w:t>1</w:t>
      </w:r>
      <w:r w:rsidR="00340334" w:rsidRPr="00F47BE6">
        <w:rPr>
          <w:highlight w:val="cyan"/>
        </w:rPr>
        <w:t>% of the match. ESRP providing $</w:t>
      </w:r>
      <w:r w:rsidR="00A92B78">
        <w:rPr>
          <w:highlight w:val="cyan"/>
        </w:rPr>
        <w:t>34,594</w:t>
      </w:r>
      <w:r w:rsidR="00340334" w:rsidRPr="00F47BE6">
        <w:rPr>
          <w:highlight w:val="cyan"/>
        </w:rPr>
        <w:t>.</w:t>
      </w:r>
      <w:r w:rsidR="00340334">
        <w:t xml:space="preserve"> </w:t>
      </w:r>
    </w:p>
    <w:p w14:paraId="657A281A" w14:textId="6E039294" w:rsidR="00194B1B" w:rsidRPr="00194B1B" w:rsidRDefault="00194B1B" w:rsidP="00194B1B">
      <w:pPr>
        <w:rPr>
          <w:i/>
          <w:iCs/>
        </w:rPr>
      </w:pPr>
      <w:r w:rsidRPr="00194B1B">
        <w:rPr>
          <w:i/>
          <w:iCs/>
        </w:rPr>
        <w:t>ESRP</w:t>
      </w:r>
      <w:r w:rsidR="00AB493C">
        <w:rPr>
          <w:i/>
          <w:iCs/>
        </w:rPr>
        <w:t xml:space="preserve"> (30% match required)</w:t>
      </w:r>
    </w:p>
    <w:p w14:paraId="2A936A6C" w14:textId="0D02F4F6" w:rsidR="00194B1B" w:rsidRDefault="00194B1B" w:rsidP="00AB493C">
      <w:r>
        <w:t>The ESRP funding total including the cost increase request = $146,815</w:t>
      </w:r>
    </w:p>
    <w:p w14:paraId="74666B4D" w14:textId="0CC50840" w:rsidR="00194B1B" w:rsidRDefault="00194B1B" w:rsidP="00194B1B">
      <w:pPr>
        <w:ind w:left="720"/>
      </w:pPr>
      <w:r>
        <w:t xml:space="preserve">146,815/.70=209,736 current project total </w:t>
      </w:r>
    </w:p>
    <w:p w14:paraId="182F6069" w14:textId="121A3927" w:rsidR="00194B1B" w:rsidRDefault="00194B1B" w:rsidP="00194B1B">
      <w:pPr>
        <w:ind w:left="720"/>
      </w:pPr>
      <w:r>
        <w:t>209,736 -146,815=62,921 match required</w:t>
      </w:r>
    </w:p>
    <w:p w14:paraId="6C92644C" w14:textId="253115BD" w:rsidR="00194B1B" w:rsidRDefault="00194B1B" w:rsidP="00194B1B">
      <w:r w:rsidRPr="00F47BE6">
        <w:rPr>
          <w:highlight w:val="cyan"/>
        </w:rPr>
        <w:t xml:space="preserve">Sponsor </w:t>
      </w:r>
      <w:r>
        <w:rPr>
          <w:highlight w:val="cyan"/>
        </w:rPr>
        <w:t xml:space="preserve">required </w:t>
      </w:r>
      <w:r w:rsidRPr="00F47BE6">
        <w:rPr>
          <w:highlight w:val="cyan"/>
        </w:rPr>
        <w:t xml:space="preserve">match </w:t>
      </w:r>
      <w:r w:rsidRPr="00AB493C">
        <w:rPr>
          <w:highlight w:val="cyan"/>
        </w:rPr>
        <w:t xml:space="preserve">= $62,921, which is </w:t>
      </w:r>
      <w:r w:rsidR="00AB493C">
        <w:rPr>
          <w:highlight w:val="cyan"/>
        </w:rPr>
        <w:t>met with</w:t>
      </w:r>
      <w:r w:rsidRPr="00AB493C">
        <w:rPr>
          <w:highlight w:val="cyan"/>
        </w:rPr>
        <w:t xml:space="preserve"> PSAR funds</w:t>
      </w:r>
      <w:r w:rsidRPr="00F47BE6">
        <w:rPr>
          <w:highlight w:val="cyan"/>
        </w:rPr>
        <w:t xml:space="preserve">. </w:t>
      </w:r>
    </w:p>
    <w:p w14:paraId="142905C3" w14:textId="471EB4BD" w:rsidR="00194B1B" w:rsidRDefault="00194B1B" w:rsidP="00194B1B"/>
    <w:tbl>
      <w:tblPr>
        <w:tblStyle w:val="TableGrid"/>
        <w:tblW w:w="0" w:type="auto"/>
        <w:tblLook w:val="04A0" w:firstRow="1" w:lastRow="0" w:firstColumn="1" w:lastColumn="0" w:noHBand="0" w:noVBand="1"/>
      </w:tblPr>
      <w:tblGrid>
        <w:gridCol w:w="3116"/>
        <w:gridCol w:w="3117"/>
        <w:gridCol w:w="3117"/>
      </w:tblGrid>
      <w:tr w:rsidR="009A07CF" w14:paraId="19DDC3A7" w14:textId="77777777" w:rsidTr="00F47BE6">
        <w:trPr>
          <w:trHeight w:val="341"/>
        </w:trPr>
        <w:tc>
          <w:tcPr>
            <w:tcW w:w="3116" w:type="dxa"/>
            <w:shd w:val="clear" w:color="auto" w:fill="9CC2E5" w:themeFill="accent1" w:themeFillTint="99"/>
          </w:tcPr>
          <w:p w14:paraId="535143BD" w14:textId="151D8DAC" w:rsidR="009A07CF" w:rsidRPr="009A07CF" w:rsidRDefault="009A07CF" w:rsidP="007650CE">
            <w:pPr>
              <w:rPr>
                <w:b/>
                <w:bCs/>
              </w:rPr>
            </w:pPr>
            <w:bookmarkStart w:id="1" w:name="_Hlk59002218"/>
            <w:r>
              <w:rPr>
                <w:b/>
                <w:bCs/>
              </w:rPr>
              <w:t>Funding Source</w:t>
            </w:r>
          </w:p>
        </w:tc>
        <w:tc>
          <w:tcPr>
            <w:tcW w:w="3117" w:type="dxa"/>
            <w:shd w:val="clear" w:color="auto" w:fill="9CC2E5" w:themeFill="accent1" w:themeFillTint="99"/>
          </w:tcPr>
          <w:p w14:paraId="6FA085AC" w14:textId="7E8B42EB" w:rsidR="009A07CF" w:rsidRPr="009A07CF" w:rsidRDefault="009A07CF" w:rsidP="007650CE">
            <w:pPr>
              <w:rPr>
                <w:b/>
                <w:bCs/>
              </w:rPr>
            </w:pPr>
            <w:r>
              <w:rPr>
                <w:b/>
                <w:bCs/>
              </w:rPr>
              <w:t>Current Funding</w:t>
            </w:r>
          </w:p>
        </w:tc>
        <w:tc>
          <w:tcPr>
            <w:tcW w:w="3117" w:type="dxa"/>
            <w:shd w:val="clear" w:color="auto" w:fill="9CC2E5" w:themeFill="accent1" w:themeFillTint="99"/>
          </w:tcPr>
          <w:p w14:paraId="7C350A6C" w14:textId="38AF7CE9" w:rsidR="009A07CF" w:rsidRPr="009A07CF" w:rsidRDefault="009A07CF" w:rsidP="007650CE">
            <w:pPr>
              <w:rPr>
                <w:b/>
                <w:bCs/>
              </w:rPr>
            </w:pPr>
            <w:r>
              <w:rPr>
                <w:b/>
                <w:bCs/>
              </w:rPr>
              <w:t>Requested Funding</w:t>
            </w:r>
          </w:p>
        </w:tc>
      </w:tr>
      <w:tr w:rsidR="009A07CF" w14:paraId="23679F30" w14:textId="77777777" w:rsidTr="009A07CF">
        <w:tc>
          <w:tcPr>
            <w:tcW w:w="3116" w:type="dxa"/>
          </w:tcPr>
          <w:p w14:paraId="6BA79F3A" w14:textId="1775FAD3" w:rsidR="009A07CF" w:rsidRDefault="009A07CF" w:rsidP="007650CE">
            <w:r>
              <w:t>2017-2019</w:t>
            </w:r>
            <w:r w:rsidR="00F47BE6">
              <w:t xml:space="preserve"> &amp; 19-21</w:t>
            </w:r>
            <w:r>
              <w:t xml:space="preserve"> PSAR</w:t>
            </w:r>
            <w:r w:rsidR="002F7FD8">
              <w:t xml:space="preserve"> from 17-1064 &amp; 19-1342</w:t>
            </w:r>
          </w:p>
        </w:tc>
        <w:tc>
          <w:tcPr>
            <w:tcW w:w="3117" w:type="dxa"/>
          </w:tcPr>
          <w:p w14:paraId="189471CD" w14:textId="11753AE7" w:rsidR="009A07CF" w:rsidRDefault="00F47BE6" w:rsidP="007650CE">
            <w:r>
              <w:t>$397,193</w:t>
            </w:r>
          </w:p>
        </w:tc>
        <w:tc>
          <w:tcPr>
            <w:tcW w:w="3117" w:type="dxa"/>
          </w:tcPr>
          <w:p w14:paraId="7A1975BB" w14:textId="77777777" w:rsidR="009A07CF" w:rsidRDefault="00F47BE6" w:rsidP="007650CE">
            <w:r>
              <w:t>$</w:t>
            </w:r>
            <w:r w:rsidR="00E11325">
              <w:t>6,000 from 17-1064</w:t>
            </w:r>
          </w:p>
          <w:p w14:paraId="11DE9786" w14:textId="4254B84D" w:rsidR="00E11325" w:rsidRDefault="00E11325" w:rsidP="007650CE">
            <w:r>
              <w:t>$28,800 from 19-1342</w:t>
            </w:r>
          </w:p>
        </w:tc>
      </w:tr>
      <w:tr w:rsidR="009A07CF" w14:paraId="144903CD" w14:textId="77777777" w:rsidTr="009A07CF">
        <w:tc>
          <w:tcPr>
            <w:tcW w:w="3116" w:type="dxa"/>
          </w:tcPr>
          <w:p w14:paraId="5952AE0E" w14:textId="1B61DFC8" w:rsidR="009A07CF" w:rsidRDefault="00F47BE6" w:rsidP="007650CE">
            <w:r>
              <w:t>2019-21 PCSRF</w:t>
            </w:r>
            <w:r w:rsidR="002F7FD8">
              <w:t xml:space="preserve"> from 19-1342</w:t>
            </w:r>
          </w:p>
        </w:tc>
        <w:tc>
          <w:tcPr>
            <w:tcW w:w="3117" w:type="dxa"/>
          </w:tcPr>
          <w:p w14:paraId="53EC4313" w14:textId="4D768E83" w:rsidR="009A07CF" w:rsidRDefault="00F47BE6" w:rsidP="007650CE">
            <w:r>
              <w:t>$0</w:t>
            </w:r>
          </w:p>
        </w:tc>
        <w:tc>
          <w:tcPr>
            <w:tcW w:w="3117" w:type="dxa"/>
          </w:tcPr>
          <w:p w14:paraId="29D610A3" w14:textId="16582A91" w:rsidR="009A07CF" w:rsidRDefault="00F47BE6" w:rsidP="007650CE">
            <w:r>
              <w:t>$100,000</w:t>
            </w:r>
          </w:p>
        </w:tc>
      </w:tr>
      <w:tr w:rsidR="009A07CF" w14:paraId="298E8D5F" w14:textId="77777777" w:rsidTr="009A07CF">
        <w:tc>
          <w:tcPr>
            <w:tcW w:w="3116" w:type="dxa"/>
          </w:tcPr>
          <w:p w14:paraId="502386FE" w14:textId="7D6AF17F" w:rsidR="009A07CF" w:rsidRDefault="00F47BE6" w:rsidP="007650CE">
            <w:r>
              <w:t>ESRP</w:t>
            </w:r>
          </w:p>
        </w:tc>
        <w:tc>
          <w:tcPr>
            <w:tcW w:w="3117" w:type="dxa"/>
          </w:tcPr>
          <w:p w14:paraId="7DFEAEF6" w14:textId="68D0C3DE" w:rsidR="009A07CF" w:rsidRDefault="00F47BE6" w:rsidP="007650CE">
            <w:r>
              <w:t>$46,815</w:t>
            </w:r>
          </w:p>
        </w:tc>
        <w:tc>
          <w:tcPr>
            <w:tcW w:w="3117" w:type="dxa"/>
          </w:tcPr>
          <w:p w14:paraId="2E8B1AC4" w14:textId="7CE229CE" w:rsidR="009A07CF" w:rsidRDefault="00F47BE6" w:rsidP="007650CE">
            <w:r>
              <w:t>$100,000</w:t>
            </w:r>
          </w:p>
        </w:tc>
      </w:tr>
      <w:tr w:rsidR="009A07CF" w14:paraId="22B2398F" w14:textId="77777777" w:rsidTr="009A07CF">
        <w:tc>
          <w:tcPr>
            <w:tcW w:w="3116" w:type="dxa"/>
          </w:tcPr>
          <w:p w14:paraId="5CD249E1" w14:textId="08F2FA8B" w:rsidR="009A07CF" w:rsidRDefault="00F47BE6" w:rsidP="007650CE">
            <w:r>
              <w:t>2020 SRFB Cost Increase Fund</w:t>
            </w:r>
          </w:p>
        </w:tc>
        <w:tc>
          <w:tcPr>
            <w:tcW w:w="3117" w:type="dxa"/>
          </w:tcPr>
          <w:p w14:paraId="0A692AD0" w14:textId="77777777" w:rsidR="009A07CF" w:rsidRDefault="009A07CF" w:rsidP="007650CE"/>
        </w:tc>
        <w:tc>
          <w:tcPr>
            <w:tcW w:w="3117" w:type="dxa"/>
          </w:tcPr>
          <w:p w14:paraId="7F9C1A84" w14:textId="4A5F8B9B" w:rsidR="009A07CF" w:rsidRDefault="00F47BE6" w:rsidP="007650CE">
            <w:r>
              <w:t>$118,000</w:t>
            </w:r>
          </w:p>
        </w:tc>
      </w:tr>
      <w:tr w:rsidR="00F47BE6" w14:paraId="71700F6F" w14:textId="77777777" w:rsidTr="009A07CF">
        <w:tc>
          <w:tcPr>
            <w:tcW w:w="3116" w:type="dxa"/>
          </w:tcPr>
          <w:p w14:paraId="54F72147" w14:textId="2525C806" w:rsidR="00F47BE6" w:rsidRPr="00F47BE6" w:rsidRDefault="00F47BE6" w:rsidP="007650CE">
            <w:pPr>
              <w:rPr>
                <w:b/>
                <w:bCs/>
              </w:rPr>
            </w:pPr>
            <w:r>
              <w:rPr>
                <w:b/>
                <w:bCs/>
              </w:rPr>
              <w:t>Total</w:t>
            </w:r>
          </w:p>
        </w:tc>
        <w:tc>
          <w:tcPr>
            <w:tcW w:w="3117" w:type="dxa"/>
          </w:tcPr>
          <w:p w14:paraId="27C48A25" w14:textId="77777777" w:rsidR="00F47BE6" w:rsidRDefault="00F47BE6" w:rsidP="007650CE"/>
        </w:tc>
        <w:tc>
          <w:tcPr>
            <w:tcW w:w="3117" w:type="dxa"/>
          </w:tcPr>
          <w:p w14:paraId="39F46FC1" w14:textId="1D9C44C7" w:rsidR="00F47BE6" w:rsidRDefault="00F47BE6" w:rsidP="007650CE">
            <w:r>
              <w:t>$352,800</w:t>
            </w:r>
          </w:p>
        </w:tc>
      </w:tr>
      <w:bookmarkEnd w:id="1"/>
    </w:tbl>
    <w:p w14:paraId="4393B625" w14:textId="0F075066" w:rsidR="009A07CF" w:rsidRDefault="009A07CF" w:rsidP="007650CE"/>
    <w:p w14:paraId="03D8E1B0" w14:textId="32230C2F" w:rsidR="00F47BE6" w:rsidRPr="00F47BE6" w:rsidRDefault="00F47BE6" w:rsidP="007650CE">
      <w:pPr>
        <w:rPr>
          <w:b/>
          <w:bCs/>
        </w:rPr>
      </w:pPr>
      <w:r>
        <w:rPr>
          <w:b/>
          <w:bCs/>
        </w:rPr>
        <w:t xml:space="preserve">Current </w:t>
      </w:r>
      <w:r w:rsidR="00861E6C">
        <w:rPr>
          <w:b/>
          <w:bCs/>
        </w:rPr>
        <w:t xml:space="preserve">SRFB </w:t>
      </w:r>
      <w:r>
        <w:rPr>
          <w:b/>
          <w:bCs/>
        </w:rPr>
        <w:t xml:space="preserve">Cost Increase Funds </w:t>
      </w:r>
      <w:r w:rsidR="002F7FD8">
        <w:rPr>
          <w:b/>
          <w:bCs/>
        </w:rPr>
        <w:t xml:space="preserve">available </w:t>
      </w:r>
      <w:r>
        <w:rPr>
          <w:b/>
          <w:bCs/>
        </w:rPr>
        <w:t xml:space="preserve">= </w:t>
      </w:r>
      <w:r w:rsidR="002F7FD8">
        <w:rPr>
          <w:b/>
          <w:bCs/>
        </w:rPr>
        <w:t>$374,673</w:t>
      </w:r>
    </w:p>
    <w:sectPr w:rsidR="00F47BE6" w:rsidRPr="00F47B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ADA20" w14:textId="77777777" w:rsidR="0088057A" w:rsidRDefault="0088057A" w:rsidP="00A90E37">
      <w:pPr>
        <w:spacing w:after="0" w:line="240" w:lineRule="auto"/>
      </w:pPr>
      <w:r>
        <w:separator/>
      </w:r>
    </w:p>
  </w:endnote>
  <w:endnote w:type="continuationSeparator" w:id="0">
    <w:p w14:paraId="2F7C0536" w14:textId="77777777" w:rsidR="0088057A" w:rsidRDefault="0088057A" w:rsidP="00A90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89AE8" w14:textId="77777777" w:rsidR="0088057A" w:rsidRDefault="0088057A" w:rsidP="00A90E37">
      <w:pPr>
        <w:spacing w:after="0" w:line="240" w:lineRule="auto"/>
      </w:pPr>
      <w:r>
        <w:separator/>
      </w:r>
    </w:p>
  </w:footnote>
  <w:footnote w:type="continuationSeparator" w:id="0">
    <w:p w14:paraId="428E4EC0" w14:textId="77777777" w:rsidR="0088057A" w:rsidRDefault="0088057A" w:rsidP="00A90E37">
      <w:pPr>
        <w:spacing w:after="0" w:line="240" w:lineRule="auto"/>
      </w:pPr>
      <w:r>
        <w:continuationSeparator/>
      </w:r>
    </w:p>
  </w:footnote>
  <w:footnote w:id="1">
    <w:p w14:paraId="085733FB" w14:textId="77777777" w:rsidR="00A90E37" w:rsidRDefault="00A90E37" w:rsidP="00A90E37">
      <w:pPr>
        <w:pStyle w:val="FootnoteText"/>
      </w:pPr>
      <w:r>
        <w:rPr>
          <w:rStyle w:val="FootnoteReference"/>
        </w:rPr>
        <w:footnoteRef/>
      </w:r>
      <w:r>
        <w:t xml:space="preserve"> Please use the amendment matrix in </w:t>
      </w:r>
      <w:hyperlink r:id="rId1" w:history="1">
        <w:r w:rsidRPr="00D0766C">
          <w:rPr>
            <w:rStyle w:val="Hyperlink"/>
          </w:rPr>
          <w:t>Appendix O</w:t>
        </w:r>
      </w:hyperlink>
      <w:r>
        <w:t xml:space="preserve"> of Manual 18 to determine whether a request needs lead entity approval. For cost increases using PSAR funds, provide this template to the Partnership for their approval.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760D"/>
    <w:multiLevelType w:val="hybridMultilevel"/>
    <w:tmpl w:val="92BE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55A0D"/>
    <w:multiLevelType w:val="hybridMultilevel"/>
    <w:tmpl w:val="D3B682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BD82002"/>
    <w:multiLevelType w:val="hybridMultilevel"/>
    <w:tmpl w:val="B8C2A362"/>
    <w:lvl w:ilvl="0" w:tplc="3B8237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B669E"/>
    <w:multiLevelType w:val="hybridMultilevel"/>
    <w:tmpl w:val="8190D5BC"/>
    <w:lvl w:ilvl="0" w:tplc="E2988D8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AD5D14"/>
    <w:multiLevelType w:val="hybridMultilevel"/>
    <w:tmpl w:val="453A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3648E"/>
    <w:multiLevelType w:val="hybridMultilevel"/>
    <w:tmpl w:val="4192D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BAC"/>
    <w:rsid w:val="0002239B"/>
    <w:rsid w:val="00045539"/>
    <w:rsid w:val="00064377"/>
    <w:rsid w:val="000C0D41"/>
    <w:rsid w:val="001169AA"/>
    <w:rsid w:val="00142C8F"/>
    <w:rsid w:val="0015392D"/>
    <w:rsid w:val="00157280"/>
    <w:rsid w:val="00182682"/>
    <w:rsid w:val="001842C1"/>
    <w:rsid w:val="001935F1"/>
    <w:rsid w:val="00194B1B"/>
    <w:rsid w:val="001969C0"/>
    <w:rsid w:val="00210CE3"/>
    <w:rsid w:val="002A7909"/>
    <w:rsid w:val="002F7FD8"/>
    <w:rsid w:val="00322BEB"/>
    <w:rsid w:val="0033757B"/>
    <w:rsid w:val="00340334"/>
    <w:rsid w:val="003501A8"/>
    <w:rsid w:val="0035115F"/>
    <w:rsid w:val="00364424"/>
    <w:rsid w:val="003F4439"/>
    <w:rsid w:val="0043514A"/>
    <w:rsid w:val="00462BDD"/>
    <w:rsid w:val="00487CA7"/>
    <w:rsid w:val="004B3F36"/>
    <w:rsid w:val="004C791A"/>
    <w:rsid w:val="00506C9C"/>
    <w:rsid w:val="00536747"/>
    <w:rsid w:val="005561AB"/>
    <w:rsid w:val="00565EFB"/>
    <w:rsid w:val="00571CEC"/>
    <w:rsid w:val="006A3A4A"/>
    <w:rsid w:val="006A4C20"/>
    <w:rsid w:val="006B0E28"/>
    <w:rsid w:val="006E1385"/>
    <w:rsid w:val="006F0AD9"/>
    <w:rsid w:val="00724417"/>
    <w:rsid w:val="0072587C"/>
    <w:rsid w:val="00756127"/>
    <w:rsid w:val="007650CE"/>
    <w:rsid w:val="007771FB"/>
    <w:rsid w:val="008029C2"/>
    <w:rsid w:val="00823E05"/>
    <w:rsid w:val="0083053D"/>
    <w:rsid w:val="00861E6C"/>
    <w:rsid w:val="0088057A"/>
    <w:rsid w:val="00896C02"/>
    <w:rsid w:val="008F4D44"/>
    <w:rsid w:val="008F6BAC"/>
    <w:rsid w:val="00907B4E"/>
    <w:rsid w:val="00927288"/>
    <w:rsid w:val="00960CF6"/>
    <w:rsid w:val="009A07CF"/>
    <w:rsid w:val="009D60C3"/>
    <w:rsid w:val="00A04CD7"/>
    <w:rsid w:val="00A508B3"/>
    <w:rsid w:val="00A517CA"/>
    <w:rsid w:val="00A72AD0"/>
    <w:rsid w:val="00A90E37"/>
    <w:rsid w:val="00A92B78"/>
    <w:rsid w:val="00AA2BFD"/>
    <w:rsid w:val="00AB493C"/>
    <w:rsid w:val="00AD6192"/>
    <w:rsid w:val="00B0707D"/>
    <w:rsid w:val="00B17F83"/>
    <w:rsid w:val="00B40F72"/>
    <w:rsid w:val="00BA72DA"/>
    <w:rsid w:val="00C40D53"/>
    <w:rsid w:val="00C76FDD"/>
    <w:rsid w:val="00CB5192"/>
    <w:rsid w:val="00CF16A8"/>
    <w:rsid w:val="00D320BC"/>
    <w:rsid w:val="00D36556"/>
    <w:rsid w:val="00E11325"/>
    <w:rsid w:val="00F365B9"/>
    <w:rsid w:val="00F47006"/>
    <w:rsid w:val="00F47BE6"/>
    <w:rsid w:val="00F71776"/>
    <w:rsid w:val="00F800B4"/>
    <w:rsid w:val="00F955E3"/>
    <w:rsid w:val="00F97146"/>
    <w:rsid w:val="00F97CB2"/>
    <w:rsid w:val="00FB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C1CA"/>
  <w15:chartTrackingRefBased/>
  <w15:docId w15:val="{BEC9B516-7E09-414B-A6D2-844413AD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BAC"/>
    <w:pPr>
      <w:ind w:left="720"/>
      <w:contextualSpacing/>
    </w:pPr>
  </w:style>
  <w:style w:type="table" w:styleId="TableGrid">
    <w:name w:val="Table Grid"/>
    <w:basedOn w:val="TableNormal"/>
    <w:uiPriority w:val="39"/>
    <w:rsid w:val="008F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2BDD"/>
    <w:rPr>
      <w:color w:val="0563C1" w:themeColor="hyperlink"/>
      <w:u w:val="single"/>
    </w:rPr>
  </w:style>
  <w:style w:type="character" w:styleId="FollowedHyperlink">
    <w:name w:val="FollowedHyperlink"/>
    <w:basedOn w:val="DefaultParagraphFont"/>
    <w:uiPriority w:val="99"/>
    <w:semiHidden/>
    <w:unhideWhenUsed/>
    <w:rsid w:val="001935F1"/>
    <w:rPr>
      <w:color w:val="954F72" w:themeColor="followedHyperlink"/>
      <w:u w:val="single"/>
    </w:rPr>
  </w:style>
  <w:style w:type="paragraph" w:styleId="FootnoteText">
    <w:name w:val="footnote text"/>
    <w:basedOn w:val="Normal"/>
    <w:link w:val="FootnoteTextChar"/>
    <w:uiPriority w:val="99"/>
    <w:semiHidden/>
    <w:unhideWhenUsed/>
    <w:rsid w:val="00A90E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E37"/>
    <w:rPr>
      <w:sz w:val="20"/>
      <w:szCs w:val="20"/>
    </w:rPr>
  </w:style>
  <w:style w:type="character" w:styleId="FootnoteReference">
    <w:name w:val="footnote reference"/>
    <w:basedOn w:val="DefaultParagraphFont"/>
    <w:uiPriority w:val="99"/>
    <w:semiHidden/>
    <w:unhideWhenUsed/>
    <w:rsid w:val="00A90E37"/>
    <w:rPr>
      <w:vertAlign w:val="superscript"/>
    </w:rPr>
  </w:style>
  <w:style w:type="character" w:styleId="CommentReference">
    <w:name w:val="annotation reference"/>
    <w:basedOn w:val="DefaultParagraphFont"/>
    <w:uiPriority w:val="99"/>
    <w:semiHidden/>
    <w:unhideWhenUsed/>
    <w:rsid w:val="00364424"/>
    <w:rPr>
      <w:sz w:val="16"/>
      <w:szCs w:val="16"/>
    </w:rPr>
  </w:style>
  <w:style w:type="paragraph" w:styleId="CommentText">
    <w:name w:val="annotation text"/>
    <w:basedOn w:val="Normal"/>
    <w:link w:val="CommentTextChar"/>
    <w:uiPriority w:val="99"/>
    <w:semiHidden/>
    <w:unhideWhenUsed/>
    <w:rsid w:val="00364424"/>
    <w:pPr>
      <w:spacing w:line="240" w:lineRule="auto"/>
    </w:pPr>
    <w:rPr>
      <w:sz w:val="20"/>
      <w:szCs w:val="20"/>
    </w:rPr>
  </w:style>
  <w:style w:type="character" w:customStyle="1" w:styleId="CommentTextChar">
    <w:name w:val="Comment Text Char"/>
    <w:basedOn w:val="DefaultParagraphFont"/>
    <w:link w:val="CommentText"/>
    <w:uiPriority w:val="99"/>
    <w:semiHidden/>
    <w:rsid w:val="00364424"/>
    <w:rPr>
      <w:sz w:val="20"/>
      <w:szCs w:val="20"/>
    </w:rPr>
  </w:style>
  <w:style w:type="paragraph" w:styleId="CommentSubject">
    <w:name w:val="annotation subject"/>
    <w:basedOn w:val="CommentText"/>
    <w:next w:val="CommentText"/>
    <w:link w:val="CommentSubjectChar"/>
    <w:uiPriority w:val="99"/>
    <w:semiHidden/>
    <w:unhideWhenUsed/>
    <w:rsid w:val="00364424"/>
    <w:rPr>
      <w:b/>
      <w:bCs/>
    </w:rPr>
  </w:style>
  <w:style w:type="character" w:customStyle="1" w:styleId="CommentSubjectChar">
    <w:name w:val="Comment Subject Char"/>
    <w:basedOn w:val="CommentTextChar"/>
    <w:link w:val="CommentSubject"/>
    <w:uiPriority w:val="99"/>
    <w:semiHidden/>
    <w:rsid w:val="00364424"/>
    <w:rPr>
      <w:b/>
      <w:bCs/>
      <w:sz w:val="20"/>
      <w:szCs w:val="20"/>
    </w:rPr>
  </w:style>
  <w:style w:type="paragraph" w:styleId="BalloonText">
    <w:name w:val="Balloon Text"/>
    <w:basedOn w:val="Normal"/>
    <w:link w:val="BalloonTextChar"/>
    <w:uiPriority w:val="99"/>
    <w:semiHidden/>
    <w:unhideWhenUsed/>
    <w:rsid w:val="00364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03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rco.wa.gov/documents/manuals&amp;forms/Manual_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350F400D219A4BBC2D4BC3F5E169AF" ma:contentTypeVersion="0" ma:contentTypeDescription="Create a new document." ma:contentTypeScope="" ma:versionID="a221abae3b8c8a6a47dc08434ecbed2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3095B-8F00-4D0C-A01F-ED3A36965A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64532C-D230-4D18-99C0-392EECF85D23}">
  <ds:schemaRefs>
    <ds:schemaRef ds:uri="http://schemas.microsoft.com/sharepoint/v3/contenttype/forms"/>
  </ds:schemaRefs>
</ds:datastoreItem>
</file>

<file path=customXml/itemProps3.xml><?xml version="1.0" encoding="utf-8"?>
<ds:datastoreItem xmlns:ds="http://schemas.openxmlformats.org/officeDocument/2006/customXml" ds:itemID="{02CBF691-998D-4227-A28F-E7CED3CF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Recreation and Conservation Office</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Kathryn (RCO)</dc:creator>
  <cp:keywords/>
  <dc:description/>
  <cp:lastModifiedBy>Bahr, Amee (RCO)</cp:lastModifiedBy>
  <cp:revision>4</cp:revision>
  <dcterms:created xsi:type="dcterms:W3CDTF">2020-12-14T17:19:00Z</dcterms:created>
  <dcterms:modified xsi:type="dcterms:W3CDTF">2020-12-16T17:29:00Z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0x01010038350F400D219A4BBC2D4BC3F5E169AF</vt:lpwstr>
  </property>
</Properties>
</file>