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15B8B" w14:textId="77305339" w:rsidR="00AF7F7E" w:rsidRDefault="00E322B3" w:rsidP="00AF7F7E">
      <w:pPr>
        <w:pStyle w:val="NoSpacing"/>
        <w:jc w:val="center"/>
        <w:rPr>
          <w:b/>
          <w:color w:val="365F91" w:themeColor="accent1" w:themeShade="BF"/>
          <w:sz w:val="28"/>
          <w:szCs w:val="28"/>
        </w:rPr>
      </w:pPr>
      <w:r>
        <w:rPr>
          <w:b/>
          <w:color w:val="365F91" w:themeColor="accent1" w:themeShade="BF"/>
          <w:sz w:val="28"/>
          <w:szCs w:val="28"/>
        </w:rPr>
        <w:t>Estuary and Salmon Restoration Program (ESRP)</w:t>
      </w:r>
    </w:p>
    <w:p w14:paraId="15A86B4F" w14:textId="756F3F22" w:rsidR="00A2371B" w:rsidRPr="00C373C8" w:rsidRDefault="00A72AB9" w:rsidP="00A2371B">
      <w:pPr>
        <w:pStyle w:val="NoSpacing"/>
        <w:pBdr>
          <w:bottom w:val="single" w:sz="4" w:space="1" w:color="auto"/>
        </w:pBdr>
        <w:jc w:val="center"/>
        <w:rPr>
          <w:b/>
          <w:i/>
          <w:sz w:val="28"/>
          <w:szCs w:val="28"/>
        </w:rPr>
      </w:pPr>
      <w:r w:rsidRPr="00C373C8">
        <w:rPr>
          <w:b/>
          <w:i/>
          <w:sz w:val="28"/>
          <w:szCs w:val="28"/>
        </w:rPr>
        <w:t xml:space="preserve">Restoration </w:t>
      </w:r>
      <w:r w:rsidR="00DC421C">
        <w:rPr>
          <w:b/>
          <w:i/>
          <w:sz w:val="28"/>
          <w:szCs w:val="28"/>
        </w:rPr>
        <w:t>Monitoring</w:t>
      </w:r>
    </w:p>
    <w:p w14:paraId="5CB5B238" w14:textId="72E24549" w:rsidR="00141B13" w:rsidRPr="00457EE3" w:rsidRDefault="00141B13" w:rsidP="00141B13">
      <w:pPr>
        <w:pStyle w:val="NoSpacing"/>
        <w:jc w:val="center"/>
        <w:rPr>
          <w:rFonts w:cs="Segoe UI"/>
          <w:bCs/>
          <w:iCs/>
          <w:sz w:val="26"/>
          <w:szCs w:val="32"/>
        </w:rPr>
      </w:pPr>
      <w:r>
        <w:rPr>
          <w:rFonts w:cs="Segoe UI"/>
          <w:bCs/>
          <w:iCs/>
          <w:sz w:val="26"/>
          <w:szCs w:val="32"/>
        </w:rPr>
        <w:t>Seahorse Siesta Barge and Armor Removal, Project 18-2062 (merged into 16-1306)</w:t>
      </w:r>
    </w:p>
    <w:p w14:paraId="48B1271C" w14:textId="77777777" w:rsidR="00AF7F7E" w:rsidRDefault="00AF7F7E" w:rsidP="00AF7F7E">
      <w:pPr>
        <w:pStyle w:val="NoSpacing"/>
        <w:jc w:val="center"/>
        <w:rPr>
          <w:rFonts w:cs="Segoe UI"/>
          <w:b/>
          <w:bCs/>
          <w:i/>
          <w:iCs/>
          <w:sz w:val="26"/>
          <w:szCs w:val="32"/>
        </w:rPr>
      </w:pPr>
      <w:r w:rsidRPr="00457EE3">
        <w:rPr>
          <w:rFonts w:cs="Segoe UI"/>
          <w:b/>
          <w:bCs/>
          <w:i/>
          <w:iCs/>
          <w:sz w:val="26"/>
          <w:szCs w:val="32"/>
        </w:rPr>
        <w:t>Statement of Work</w:t>
      </w:r>
    </w:p>
    <w:p w14:paraId="4F363177" w14:textId="53BEAC2B" w:rsidR="007D638C" w:rsidRPr="007D638C" w:rsidRDefault="008227A4" w:rsidP="00AF7F7E">
      <w:pPr>
        <w:pStyle w:val="NoSpacing"/>
        <w:jc w:val="center"/>
        <w:rPr>
          <w:rFonts w:cs="Segoe UI"/>
          <w:bCs/>
          <w:iCs/>
          <w:sz w:val="20"/>
          <w:szCs w:val="20"/>
        </w:rPr>
      </w:pPr>
      <w:r>
        <w:rPr>
          <w:rFonts w:cs="Segoe UI"/>
          <w:bCs/>
          <w:iCs/>
          <w:sz w:val="20"/>
          <w:szCs w:val="20"/>
        </w:rPr>
        <w:t xml:space="preserve">August </w:t>
      </w:r>
      <w:r w:rsidR="00EB0B60">
        <w:rPr>
          <w:rFonts w:cs="Segoe UI"/>
          <w:bCs/>
          <w:iCs/>
          <w:sz w:val="20"/>
          <w:szCs w:val="20"/>
        </w:rPr>
        <w:t>30</w:t>
      </w:r>
      <w:r>
        <w:rPr>
          <w:rFonts w:cs="Segoe UI"/>
          <w:bCs/>
          <w:iCs/>
          <w:sz w:val="20"/>
          <w:szCs w:val="20"/>
        </w:rPr>
        <w:t xml:space="preserve">, </w:t>
      </w:r>
      <w:r w:rsidR="00D841F0">
        <w:rPr>
          <w:rFonts w:cs="Segoe UI"/>
          <w:bCs/>
          <w:iCs/>
          <w:sz w:val="20"/>
          <w:szCs w:val="20"/>
        </w:rPr>
        <w:t>2019</w:t>
      </w:r>
    </w:p>
    <w:p w14:paraId="6D148954" w14:textId="77777777" w:rsidR="00FE37C3" w:rsidRPr="00457EE3" w:rsidRDefault="00FE37C3" w:rsidP="00AF7F7E">
      <w:pPr>
        <w:pStyle w:val="NoSpacing"/>
        <w:jc w:val="center"/>
        <w:rPr>
          <w:rFonts w:cs="Segoe UI"/>
          <w:b/>
          <w:bCs/>
          <w:i/>
          <w:iCs/>
          <w:sz w:val="26"/>
          <w:szCs w:val="32"/>
        </w:rPr>
      </w:pPr>
    </w:p>
    <w:p w14:paraId="7562C7F5" w14:textId="77777777" w:rsidR="00A72AB9" w:rsidRPr="00B66B93" w:rsidRDefault="00A72AB9" w:rsidP="00A72AB9">
      <w:pPr>
        <w:spacing w:after="0"/>
        <w:rPr>
          <w:rFonts w:ascii="Calibri" w:hAnsi="Calibri" w:cs="Calibri"/>
          <w:b/>
          <w:u w:val="single"/>
        </w:rPr>
      </w:pPr>
      <w:r w:rsidRPr="00B66B93">
        <w:rPr>
          <w:rFonts w:ascii="Calibri" w:hAnsi="Calibri" w:cs="Calibri"/>
          <w:b/>
          <w:color w:val="000000"/>
          <w:sz w:val="28"/>
          <w:szCs w:val="23"/>
        </w:rPr>
        <w:t>PURPOSE</w:t>
      </w:r>
    </w:p>
    <w:p w14:paraId="1764F787" w14:textId="77777777" w:rsidR="00A72AB9" w:rsidRPr="00B66B93" w:rsidRDefault="00A72AB9" w:rsidP="00A72AB9">
      <w:pPr>
        <w:spacing w:after="0"/>
        <w:rPr>
          <w:rFonts w:ascii="Calibri" w:hAnsi="Calibri" w:cs="Calibri"/>
          <w:b/>
          <w:u w:val="single"/>
        </w:rPr>
      </w:pPr>
      <w:r w:rsidRPr="00B66B93">
        <w:rPr>
          <w:rFonts w:ascii="Calibri" w:hAnsi="Calibri" w:cs="Calibri"/>
          <w:b/>
          <w:u w:val="single"/>
        </w:rPr>
        <w:t>Agreement Scope</w:t>
      </w:r>
    </w:p>
    <w:p w14:paraId="4911A237" w14:textId="6CA27136" w:rsidR="00D841F0" w:rsidRDefault="00141B13" w:rsidP="0011187F">
      <w:pPr>
        <w:autoSpaceDE w:val="0"/>
        <w:autoSpaceDN w:val="0"/>
        <w:adjustRightInd w:val="0"/>
        <w:spacing w:after="0" w:line="240" w:lineRule="auto"/>
        <w:rPr>
          <w:rFonts w:ascii="Calibri" w:hAnsi="Calibri" w:cs="Calibri"/>
          <w:color w:val="000000"/>
        </w:rPr>
      </w:pPr>
      <w:r w:rsidRPr="00141B13">
        <w:rPr>
          <w:rFonts w:ascii="Calibri" w:hAnsi="Calibri" w:cs="Calibri"/>
          <w:color w:val="000000"/>
        </w:rPr>
        <w:t xml:space="preserve">This project is funded with ESRP funds through project </w:t>
      </w:r>
      <w:r w:rsidRPr="00141B13">
        <w:rPr>
          <w:rFonts w:ascii="Calibri" w:hAnsi="Calibri" w:cs="Calibri"/>
          <w:bCs/>
          <w:iCs/>
        </w:rPr>
        <w:t>18-2062</w:t>
      </w:r>
      <w:r w:rsidR="00D841F0">
        <w:rPr>
          <w:rFonts w:ascii="Calibri" w:hAnsi="Calibri" w:cs="Calibri"/>
          <w:bCs/>
          <w:iCs/>
        </w:rPr>
        <w:t>, Seahorse Siesta Barge and Armor Removal,</w:t>
      </w:r>
      <w:r w:rsidRPr="00141B13">
        <w:rPr>
          <w:rFonts w:ascii="Calibri" w:hAnsi="Calibri" w:cs="Calibri"/>
          <w:bCs/>
          <w:iCs/>
        </w:rPr>
        <w:t xml:space="preserve"> and PSAR funds through project 16-1306</w:t>
      </w:r>
      <w:r w:rsidR="00D841F0">
        <w:rPr>
          <w:rFonts w:ascii="Calibri" w:hAnsi="Calibri" w:cs="Calibri"/>
          <w:bCs/>
          <w:iCs/>
        </w:rPr>
        <w:t>, Seahorse Siesta Barge Removal</w:t>
      </w:r>
      <w:r w:rsidRPr="00141B13">
        <w:rPr>
          <w:rFonts w:ascii="Calibri" w:hAnsi="Calibri" w:cs="Calibri"/>
          <w:bCs/>
          <w:iCs/>
        </w:rPr>
        <w:t xml:space="preserve">.  </w:t>
      </w:r>
      <w:r w:rsidR="00D841F0">
        <w:rPr>
          <w:rFonts w:ascii="Calibri" w:hAnsi="Calibri" w:cs="Calibri"/>
          <w:bCs/>
          <w:iCs/>
        </w:rPr>
        <w:t xml:space="preserve">The scopes of work of the two grants are identical, with the exception that the ESRP grant </w:t>
      </w:r>
      <w:r w:rsidR="00D841F0" w:rsidRPr="00141B13">
        <w:rPr>
          <w:rFonts w:ascii="Calibri" w:hAnsi="Calibri" w:cs="Calibri"/>
          <w:color w:val="000000"/>
        </w:rPr>
        <w:t>include</w:t>
      </w:r>
      <w:r w:rsidR="00D841F0">
        <w:rPr>
          <w:rFonts w:ascii="Calibri" w:hAnsi="Calibri" w:cs="Calibri"/>
          <w:color w:val="000000"/>
        </w:rPr>
        <w:t>s</w:t>
      </w:r>
      <w:r w:rsidR="00D841F0" w:rsidRPr="00141B13">
        <w:rPr>
          <w:rFonts w:ascii="Calibri" w:hAnsi="Calibri" w:cs="Calibri"/>
          <w:color w:val="000000"/>
        </w:rPr>
        <w:t xml:space="preserve"> $</w:t>
      </w:r>
      <w:r w:rsidR="003C4508">
        <w:rPr>
          <w:rFonts w:ascii="Calibri" w:hAnsi="Calibri" w:cs="Calibri"/>
          <w:color w:val="000000"/>
        </w:rPr>
        <w:t>3,25</w:t>
      </w:r>
      <w:bookmarkStart w:id="0" w:name="_GoBack"/>
      <w:bookmarkEnd w:id="0"/>
      <w:r w:rsidR="003C4508">
        <w:rPr>
          <w:rFonts w:ascii="Calibri" w:hAnsi="Calibri" w:cs="Calibri"/>
          <w:color w:val="000000"/>
        </w:rPr>
        <w:t>0</w:t>
      </w:r>
      <w:r w:rsidR="00D841F0" w:rsidRPr="00141B13">
        <w:rPr>
          <w:rFonts w:ascii="Calibri" w:hAnsi="Calibri" w:cs="Calibri"/>
          <w:color w:val="000000"/>
        </w:rPr>
        <w:t xml:space="preserve"> for monitoring plan development and implementation, which is not eligible for </w:t>
      </w:r>
      <w:r w:rsidR="00D841F0">
        <w:rPr>
          <w:rFonts w:ascii="Calibri" w:hAnsi="Calibri" w:cs="Calibri"/>
          <w:color w:val="000000"/>
        </w:rPr>
        <w:t xml:space="preserve">PSAR funding or match.  </w:t>
      </w:r>
      <w:r w:rsidR="00D841F0" w:rsidRPr="00141B13">
        <w:rPr>
          <w:rFonts w:ascii="Calibri" w:hAnsi="Calibri" w:cs="Calibri"/>
          <w:bCs/>
          <w:iCs/>
        </w:rPr>
        <w:t xml:space="preserve">Funding from both grants were merged into the contract for 16-1306. </w:t>
      </w:r>
      <w:r w:rsidR="00D841F0">
        <w:rPr>
          <w:rFonts w:ascii="Calibri" w:hAnsi="Calibri" w:cs="Calibri"/>
          <w:bCs/>
          <w:iCs/>
        </w:rPr>
        <w:t xml:space="preserve">  The tasks and deliverables below cover </w:t>
      </w:r>
      <w:r w:rsidR="0011187F">
        <w:rPr>
          <w:rFonts w:ascii="Calibri" w:hAnsi="Calibri" w:cs="Calibri"/>
          <w:bCs/>
          <w:iCs/>
        </w:rPr>
        <w:t xml:space="preserve">only </w:t>
      </w:r>
      <w:r w:rsidR="00D841F0">
        <w:rPr>
          <w:rFonts w:ascii="Calibri" w:hAnsi="Calibri" w:cs="Calibri"/>
          <w:bCs/>
          <w:iCs/>
        </w:rPr>
        <w:t>the monitoring component of the project since the restoration component</w:t>
      </w:r>
      <w:r w:rsidR="0011187F">
        <w:rPr>
          <w:rFonts w:ascii="Calibri" w:hAnsi="Calibri" w:cs="Calibri"/>
          <w:bCs/>
          <w:iCs/>
        </w:rPr>
        <w:t xml:space="preserve"> is well-represented through PRISM.</w:t>
      </w:r>
    </w:p>
    <w:p w14:paraId="3B4C9513" w14:textId="77777777" w:rsidR="0011187F" w:rsidRDefault="0011187F" w:rsidP="0011187F">
      <w:pPr>
        <w:autoSpaceDE w:val="0"/>
        <w:autoSpaceDN w:val="0"/>
        <w:adjustRightInd w:val="0"/>
        <w:spacing w:after="0" w:line="240" w:lineRule="auto"/>
        <w:rPr>
          <w:rFonts w:ascii="Calibri" w:hAnsi="Calibri" w:cs="Calibri"/>
          <w:i/>
          <w:color w:val="000000"/>
          <w:u w:val="single"/>
        </w:rPr>
      </w:pPr>
    </w:p>
    <w:p w14:paraId="0B083141" w14:textId="7A79A25E" w:rsidR="00141B13" w:rsidRPr="00141B13" w:rsidRDefault="00D841F0" w:rsidP="0011187F">
      <w:pPr>
        <w:autoSpaceDE w:val="0"/>
        <w:autoSpaceDN w:val="0"/>
        <w:adjustRightInd w:val="0"/>
        <w:spacing w:after="0" w:line="240" w:lineRule="auto"/>
        <w:rPr>
          <w:rFonts w:ascii="Calibri" w:hAnsi="Calibri" w:cs="Calibri"/>
          <w:color w:val="000000"/>
        </w:rPr>
      </w:pPr>
      <w:r w:rsidRPr="00D841F0">
        <w:rPr>
          <w:rFonts w:ascii="Calibri" w:hAnsi="Calibri" w:cs="Calibri"/>
          <w:i/>
          <w:color w:val="000000"/>
          <w:u w:val="single"/>
        </w:rPr>
        <w:t>Restoration Project Description</w:t>
      </w:r>
      <w:r>
        <w:rPr>
          <w:rFonts w:ascii="Calibri" w:hAnsi="Calibri" w:cs="Calibri"/>
          <w:color w:val="000000"/>
        </w:rPr>
        <w:t xml:space="preserve"> (eligible for both ESRP and PSAR funds):  </w:t>
      </w:r>
      <w:r w:rsidR="00141B13" w:rsidRPr="00141B13">
        <w:rPr>
          <w:rFonts w:ascii="Calibri" w:hAnsi="Calibri" w:cs="Calibri"/>
          <w:color w:val="000000"/>
        </w:rPr>
        <w:t xml:space="preserve">Northwest </w:t>
      </w:r>
      <w:r w:rsidR="007C679E">
        <w:rPr>
          <w:rFonts w:ascii="Calibri" w:hAnsi="Calibri" w:cs="Calibri"/>
          <w:color w:val="000000"/>
        </w:rPr>
        <w:t>Straits</w:t>
      </w:r>
      <w:r w:rsidR="00141B13" w:rsidRPr="00141B13">
        <w:rPr>
          <w:rFonts w:ascii="Calibri" w:hAnsi="Calibri" w:cs="Calibri"/>
          <w:color w:val="000000"/>
        </w:rPr>
        <w:t xml:space="preserve"> Foundation propose to remove a large barge and bulkhead from the base of a feeder bluff near Langley, Whidbey Island. The bulkhead (including the barge, which is part of the shore armor) extends 98 feet onto the beach from the toe of the bluff and 136 feet alongshore. The project will also construct a small rockery above elevation +13 MLLW to allow for continued access to the beach by the community. The project includes final design, bidding, construction, and pre and post construction monitoring. The removal of the barge will expose a sandy beach suitable for forage fish spawning (Pacific sand lance) and will improve nearshore habitats useful for migrating juvenile salmonids. Sand lance spawn on mid-intertidal sandy beaches and spawning has been mapped both updrift and downdrift of the site. Residents also noted that there are populations of sand shrimp on site and gray whales are present in the area.</w:t>
      </w:r>
    </w:p>
    <w:p w14:paraId="0D19F8B3" w14:textId="1E0A9535" w:rsidR="00141B13" w:rsidRDefault="00141B13" w:rsidP="0011187F">
      <w:pPr>
        <w:autoSpaceDE w:val="0"/>
        <w:autoSpaceDN w:val="0"/>
        <w:adjustRightInd w:val="0"/>
        <w:spacing w:after="0" w:line="240" w:lineRule="auto"/>
        <w:rPr>
          <w:rFonts w:ascii="Calibri" w:hAnsi="Calibri" w:cs="Calibri"/>
          <w:color w:val="000000"/>
        </w:rPr>
      </w:pPr>
    </w:p>
    <w:p w14:paraId="170AC582" w14:textId="47876845" w:rsidR="00D841F0" w:rsidRPr="00141B13" w:rsidRDefault="00D841F0" w:rsidP="0011187F">
      <w:pPr>
        <w:autoSpaceDE w:val="0"/>
        <w:autoSpaceDN w:val="0"/>
        <w:adjustRightInd w:val="0"/>
        <w:spacing w:after="0" w:line="240" w:lineRule="auto"/>
        <w:rPr>
          <w:rFonts w:ascii="Calibri" w:hAnsi="Calibri" w:cs="Calibri"/>
          <w:color w:val="000000"/>
        </w:rPr>
      </w:pPr>
      <w:r w:rsidRPr="00487F59">
        <w:rPr>
          <w:rFonts w:ascii="Calibri" w:hAnsi="Calibri" w:cs="Calibri"/>
          <w:i/>
          <w:color w:val="000000"/>
          <w:u w:val="single"/>
        </w:rPr>
        <w:t>Monitoring Project Description</w:t>
      </w:r>
      <w:r>
        <w:rPr>
          <w:rFonts w:ascii="Calibri" w:hAnsi="Calibri" w:cs="Calibri"/>
          <w:color w:val="000000"/>
        </w:rPr>
        <w:t xml:space="preserve"> (ESRP funds only)</w:t>
      </w:r>
    </w:p>
    <w:p w14:paraId="5C1F0ADF" w14:textId="13CCA5D9" w:rsidR="00487F59" w:rsidRDefault="00FE624D" w:rsidP="001755A0">
      <w:pPr>
        <w:pStyle w:val="Default"/>
      </w:pPr>
      <w:r>
        <w:rPr>
          <w:sz w:val="22"/>
          <w:szCs w:val="22"/>
        </w:rPr>
        <w:t>The project includes a citizen-science monitoring plan to assess the results of the restoration over time. Community members will be recruited to assist with monitoring, thereby deepening the understanding of the science behind restoration and restoration monitoring.</w:t>
      </w:r>
      <w:r w:rsidR="001755A0">
        <w:rPr>
          <w:sz w:val="22"/>
          <w:szCs w:val="22"/>
        </w:rPr>
        <w:t xml:space="preserve">  </w:t>
      </w:r>
      <w:r>
        <w:t>The MRC will provide volunteers to develop and assist with pre- and post-construction monitoring. A monitoring plan will be developed and will follow protocols outlined in the Shoreline Monitoring Toolbox, WDFW’s forage fish sampling protocols, and other methods commonly used throughout Puget Sound.</w:t>
      </w:r>
    </w:p>
    <w:p w14:paraId="63278CE1" w14:textId="066D7E95" w:rsidR="00FE624D" w:rsidRPr="00FE624D" w:rsidRDefault="00FE624D" w:rsidP="00FE624D">
      <w:pPr>
        <w:rPr>
          <w:rFonts w:ascii="Calibri" w:hAnsi="Calibri" w:cs="Calibri"/>
          <w:b/>
          <w:color w:val="000000"/>
          <w:sz w:val="28"/>
          <w:szCs w:val="23"/>
        </w:rPr>
      </w:pPr>
    </w:p>
    <w:p w14:paraId="7F75345D" w14:textId="3E809BBC" w:rsidR="00A72AB9" w:rsidRPr="00B66B93" w:rsidRDefault="00487F59" w:rsidP="00A72AB9">
      <w:pPr>
        <w:spacing w:after="0"/>
        <w:rPr>
          <w:rFonts w:ascii="Calibri" w:hAnsi="Calibri" w:cs="Calibri"/>
          <w:b/>
          <w:color w:val="000000"/>
          <w:sz w:val="28"/>
          <w:szCs w:val="23"/>
        </w:rPr>
      </w:pPr>
      <w:r>
        <w:rPr>
          <w:rFonts w:ascii="Calibri" w:hAnsi="Calibri" w:cs="Calibri"/>
          <w:b/>
          <w:color w:val="000000"/>
          <w:sz w:val="28"/>
          <w:szCs w:val="23"/>
        </w:rPr>
        <w:t xml:space="preserve">MONITORING </w:t>
      </w:r>
      <w:r w:rsidR="00A72AB9" w:rsidRPr="00B66B93">
        <w:rPr>
          <w:rFonts w:ascii="Calibri" w:hAnsi="Calibri" w:cs="Calibri"/>
          <w:b/>
          <w:color w:val="000000"/>
          <w:sz w:val="28"/>
          <w:szCs w:val="23"/>
        </w:rPr>
        <w:t>GOALS &amp; OBJECTIVES</w:t>
      </w:r>
    </w:p>
    <w:p w14:paraId="2083D077" w14:textId="77777777" w:rsidR="00FE624D" w:rsidRDefault="00FE624D" w:rsidP="00FE624D">
      <w:pPr>
        <w:pStyle w:val="Default"/>
        <w:rPr>
          <w:sz w:val="22"/>
          <w:szCs w:val="22"/>
        </w:rPr>
      </w:pPr>
      <w:r>
        <w:rPr>
          <w:sz w:val="22"/>
          <w:szCs w:val="22"/>
        </w:rPr>
        <w:t xml:space="preserve">Project goals include: enhancement of nearshore physical habitat conditions by removal of the barge/bulkhead structure; and the restoration of sediment transport processes along shore. Several hypotheses to be tested by monitoring include: </w:t>
      </w:r>
    </w:p>
    <w:p w14:paraId="7BE135C7" w14:textId="497F0E48" w:rsidR="00FE624D" w:rsidRDefault="00FE624D" w:rsidP="001755A0">
      <w:pPr>
        <w:pStyle w:val="Default"/>
        <w:numPr>
          <w:ilvl w:val="0"/>
          <w:numId w:val="11"/>
        </w:numPr>
        <w:rPr>
          <w:sz w:val="22"/>
          <w:szCs w:val="22"/>
        </w:rPr>
      </w:pPr>
      <w:r>
        <w:rPr>
          <w:sz w:val="22"/>
          <w:szCs w:val="22"/>
        </w:rPr>
        <w:t xml:space="preserve">Removal of armoring will re-establish sediment transport and substrate composition within the drift cell will change. </w:t>
      </w:r>
    </w:p>
    <w:p w14:paraId="09D902C1" w14:textId="47AFD128" w:rsidR="00FE624D" w:rsidRDefault="00FE624D" w:rsidP="001755A0">
      <w:pPr>
        <w:pStyle w:val="Default"/>
        <w:numPr>
          <w:ilvl w:val="0"/>
          <w:numId w:val="11"/>
        </w:numPr>
        <w:rPr>
          <w:sz w:val="22"/>
          <w:szCs w:val="22"/>
        </w:rPr>
      </w:pPr>
      <w:r>
        <w:rPr>
          <w:sz w:val="22"/>
          <w:szCs w:val="22"/>
        </w:rPr>
        <w:t xml:space="preserve">As sea level rises, the amount of intertidal habitat will be maintained over the long term. The slope of the upper shore will be reduced allowing fine sediments to settle and become a dominant part of the upper beach substrate. </w:t>
      </w:r>
    </w:p>
    <w:p w14:paraId="654B4DC0" w14:textId="3EF7D2C8" w:rsidR="00FE624D" w:rsidRDefault="00FE624D" w:rsidP="001755A0">
      <w:pPr>
        <w:pStyle w:val="Default"/>
        <w:numPr>
          <w:ilvl w:val="0"/>
          <w:numId w:val="11"/>
        </w:numPr>
        <w:rPr>
          <w:sz w:val="22"/>
          <w:szCs w:val="22"/>
        </w:rPr>
      </w:pPr>
      <w:r>
        <w:rPr>
          <w:sz w:val="22"/>
          <w:szCs w:val="22"/>
        </w:rPr>
        <w:t xml:space="preserve">The removed armoring will allow for the accumulation of large woody debris. </w:t>
      </w:r>
    </w:p>
    <w:p w14:paraId="3A5604B5" w14:textId="23A23C52" w:rsidR="00FE624D" w:rsidRDefault="00FE624D" w:rsidP="00FE624D">
      <w:pPr>
        <w:pStyle w:val="Default"/>
        <w:rPr>
          <w:sz w:val="22"/>
          <w:szCs w:val="22"/>
        </w:rPr>
      </w:pPr>
    </w:p>
    <w:p w14:paraId="21F0E6A4" w14:textId="77777777" w:rsidR="00C1761E" w:rsidRDefault="00C1761E" w:rsidP="00FE624D">
      <w:pPr>
        <w:pStyle w:val="Default"/>
        <w:rPr>
          <w:sz w:val="22"/>
          <w:szCs w:val="22"/>
        </w:rPr>
      </w:pPr>
    </w:p>
    <w:p w14:paraId="1A07EC68" w14:textId="77777777" w:rsidR="00C1761E" w:rsidRDefault="00C1761E">
      <w:pPr>
        <w:rPr>
          <w:rFonts w:ascii="Calibri" w:hAnsi="Calibri" w:cs="Calibri"/>
          <w:b/>
          <w:color w:val="000000"/>
          <w:sz w:val="28"/>
          <w:szCs w:val="23"/>
        </w:rPr>
      </w:pPr>
      <w:r>
        <w:rPr>
          <w:rFonts w:ascii="Calibri" w:hAnsi="Calibri" w:cs="Calibri"/>
          <w:b/>
          <w:color w:val="000000"/>
          <w:sz w:val="28"/>
          <w:szCs w:val="23"/>
        </w:rPr>
        <w:br w:type="page"/>
      </w:r>
    </w:p>
    <w:p w14:paraId="57FF582E" w14:textId="31CCD4AE" w:rsidR="00A72AB9" w:rsidRPr="00B66B93" w:rsidRDefault="00D841F0" w:rsidP="00A72AB9">
      <w:pPr>
        <w:spacing w:after="0"/>
        <w:rPr>
          <w:rFonts w:ascii="Calibri" w:hAnsi="Calibri" w:cs="Calibri"/>
          <w:b/>
          <w:color w:val="000000"/>
          <w:sz w:val="28"/>
          <w:szCs w:val="23"/>
        </w:rPr>
      </w:pPr>
      <w:r>
        <w:rPr>
          <w:rFonts w:ascii="Calibri" w:hAnsi="Calibri" w:cs="Calibri"/>
          <w:b/>
          <w:color w:val="000000"/>
          <w:sz w:val="28"/>
          <w:szCs w:val="23"/>
        </w:rPr>
        <w:lastRenderedPageBreak/>
        <w:t xml:space="preserve">MONITORING </w:t>
      </w:r>
      <w:r w:rsidR="00A72AB9" w:rsidRPr="00B66B93">
        <w:rPr>
          <w:rFonts w:ascii="Calibri" w:hAnsi="Calibri" w:cs="Calibri"/>
          <w:b/>
          <w:color w:val="000000"/>
          <w:sz w:val="28"/>
          <w:szCs w:val="23"/>
        </w:rPr>
        <w:t>TASKS &amp; DELIVERABLES</w:t>
      </w:r>
      <w:r>
        <w:rPr>
          <w:rFonts w:ascii="Calibri" w:hAnsi="Calibri" w:cs="Calibri"/>
          <w:b/>
          <w:color w:val="000000"/>
          <w:sz w:val="28"/>
          <w:szCs w:val="23"/>
        </w:rPr>
        <w:t xml:space="preserve"> </w:t>
      </w:r>
    </w:p>
    <w:p w14:paraId="227A28E0" w14:textId="30524F6F" w:rsidR="001C3620" w:rsidRDefault="001C3620" w:rsidP="001C3620">
      <w:pPr>
        <w:pStyle w:val="Default"/>
        <w:rPr>
          <w:sz w:val="28"/>
          <w:szCs w:val="23"/>
        </w:rPr>
      </w:pPr>
      <w:r w:rsidRPr="00B66B93">
        <w:rPr>
          <w:b/>
          <w:sz w:val="28"/>
          <w:szCs w:val="23"/>
        </w:rPr>
        <w:t xml:space="preserve">Task </w:t>
      </w:r>
      <w:r w:rsidR="00EB0B60">
        <w:rPr>
          <w:b/>
          <w:sz w:val="28"/>
          <w:szCs w:val="23"/>
        </w:rPr>
        <w:t>1</w:t>
      </w:r>
      <w:r w:rsidRPr="00B66B93">
        <w:rPr>
          <w:sz w:val="28"/>
          <w:szCs w:val="23"/>
        </w:rPr>
        <w:t xml:space="preserve">: </w:t>
      </w:r>
      <w:r>
        <w:rPr>
          <w:sz w:val="28"/>
          <w:szCs w:val="23"/>
        </w:rPr>
        <w:t>Monitoring Data Collection and Processing</w:t>
      </w:r>
    </w:p>
    <w:p w14:paraId="765AD73B" w14:textId="60BE16BC" w:rsidR="00285BEF" w:rsidRDefault="00285BEF" w:rsidP="001C3620">
      <w:pPr>
        <w:pStyle w:val="Default"/>
        <w:rPr>
          <w:sz w:val="22"/>
          <w:szCs w:val="22"/>
        </w:rPr>
      </w:pPr>
      <w:r>
        <w:rPr>
          <w:sz w:val="22"/>
          <w:szCs w:val="22"/>
        </w:rPr>
        <w:t>NWSF will coordinate pre- and post-construction monitoring using citizen-science volunteers, WDFW, and University of Washington experts. Monitoring at this site began two years ago through WDFW’s program to compare habitat responses to armor removal at various locations throughout Puget Sound. Funding to support this has also been secured through a Near Term Action project</w:t>
      </w:r>
      <w:r w:rsidR="00BA5C47">
        <w:rPr>
          <w:sz w:val="22"/>
          <w:szCs w:val="22"/>
        </w:rPr>
        <w:t xml:space="preserve"> (NTA#2018-219)</w:t>
      </w:r>
      <w:r>
        <w:rPr>
          <w:sz w:val="22"/>
          <w:szCs w:val="22"/>
        </w:rPr>
        <w:t xml:space="preserve"> that continues to monitor paired  armored and unarmored sites with these partners. LWD, beach wrack composition, and elevation data has been collected once per year for two years.</w:t>
      </w:r>
      <w:r w:rsidR="00F87B9A">
        <w:rPr>
          <w:sz w:val="22"/>
          <w:szCs w:val="22"/>
        </w:rPr>
        <w:t xml:space="preserve"> Forage fish surveys were also conducted, but only in conjunction with the annual monitoring. WDFW will conduct post-construction monitoring following structure removal in 2020. Volunteers will complete it in spring 2021 if funding for WDFW does not exist.</w:t>
      </w:r>
    </w:p>
    <w:p w14:paraId="12D91955" w14:textId="77777777" w:rsidR="00285BEF" w:rsidRDefault="00285BEF" w:rsidP="001C3620">
      <w:pPr>
        <w:pStyle w:val="Default"/>
        <w:rPr>
          <w:sz w:val="22"/>
          <w:szCs w:val="22"/>
        </w:rPr>
      </w:pPr>
    </w:p>
    <w:p w14:paraId="7FE55452" w14:textId="7876FDE9" w:rsidR="00285BEF" w:rsidRPr="008F09C7" w:rsidRDefault="00285BEF" w:rsidP="001C3620">
      <w:pPr>
        <w:pStyle w:val="Default"/>
        <w:rPr>
          <w:sz w:val="22"/>
          <w:szCs w:val="22"/>
        </w:rPr>
      </w:pPr>
      <w:r>
        <w:rPr>
          <w:sz w:val="22"/>
          <w:szCs w:val="22"/>
        </w:rPr>
        <w:t xml:space="preserve">Volunteers will begin monthly forage fish spawning surveys in winter 2020 and will continue post-construction monitoring as funding </w:t>
      </w:r>
      <w:r w:rsidR="00F87B9A">
        <w:rPr>
          <w:sz w:val="22"/>
          <w:szCs w:val="22"/>
        </w:rPr>
        <w:t xml:space="preserve">allows </w:t>
      </w:r>
      <w:r>
        <w:rPr>
          <w:sz w:val="22"/>
          <w:szCs w:val="22"/>
        </w:rPr>
        <w:t xml:space="preserve">to support their efforts and have samples analyzed. </w:t>
      </w:r>
    </w:p>
    <w:p w14:paraId="73BC0AE6" w14:textId="77777777" w:rsidR="001C3620" w:rsidRPr="005244D0" w:rsidRDefault="001C3620" w:rsidP="001C3620">
      <w:pPr>
        <w:pStyle w:val="Default"/>
        <w:rPr>
          <w:sz w:val="22"/>
          <w:szCs w:val="22"/>
        </w:rPr>
      </w:pPr>
    </w:p>
    <w:tbl>
      <w:tblPr>
        <w:tblStyle w:val="TableGrid"/>
        <w:tblW w:w="0" w:type="auto"/>
        <w:tblInd w:w="108" w:type="dxa"/>
        <w:tblLayout w:type="fixed"/>
        <w:tblLook w:val="04A0" w:firstRow="1" w:lastRow="0" w:firstColumn="1" w:lastColumn="0" w:noHBand="0" w:noVBand="1"/>
      </w:tblPr>
      <w:tblGrid>
        <w:gridCol w:w="967"/>
        <w:gridCol w:w="3600"/>
        <w:gridCol w:w="1710"/>
        <w:gridCol w:w="1530"/>
      </w:tblGrid>
      <w:tr w:rsidR="00B651A9" w14:paraId="5EF58A6B" w14:textId="78662D2A" w:rsidTr="001C3620">
        <w:tc>
          <w:tcPr>
            <w:tcW w:w="967" w:type="dxa"/>
            <w:shd w:val="clear" w:color="auto" w:fill="595959" w:themeFill="text1" w:themeFillTint="A6"/>
          </w:tcPr>
          <w:p w14:paraId="0FFB023C" w14:textId="77777777" w:rsidR="00B651A9" w:rsidRPr="00175973" w:rsidRDefault="00B651A9" w:rsidP="00E1050C">
            <w:pPr>
              <w:pStyle w:val="Default"/>
              <w:jc w:val="center"/>
              <w:rPr>
                <w:color w:val="FFFFFF" w:themeColor="background1"/>
                <w:sz w:val="23"/>
                <w:szCs w:val="23"/>
              </w:rPr>
            </w:pPr>
            <w:r w:rsidRPr="00175973">
              <w:rPr>
                <w:b/>
                <w:color w:val="FFFFFF" w:themeColor="background1"/>
                <w:sz w:val="22"/>
                <w:szCs w:val="22"/>
              </w:rPr>
              <w:t>Number</w:t>
            </w:r>
          </w:p>
        </w:tc>
        <w:tc>
          <w:tcPr>
            <w:tcW w:w="3600" w:type="dxa"/>
            <w:shd w:val="clear" w:color="auto" w:fill="595959" w:themeFill="text1" w:themeFillTint="A6"/>
          </w:tcPr>
          <w:p w14:paraId="2B9161D5" w14:textId="77777777" w:rsidR="00B651A9" w:rsidRPr="00175973" w:rsidRDefault="00B651A9" w:rsidP="00E1050C">
            <w:pPr>
              <w:pStyle w:val="Default"/>
              <w:jc w:val="center"/>
              <w:rPr>
                <w:color w:val="FFFFFF" w:themeColor="background1"/>
                <w:sz w:val="23"/>
                <w:szCs w:val="23"/>
              </w:rPr>
            </w:pPr>
            <w:r w:rsidRPr="00175973">
              <w:rPr>
                <w:b/>
                <w:color w:val="FFFFFF" w:themeColor="background1"/>
                <w:sz w:val="22"/>
                <w:szCs w:val="22"/>
              </w:rPr>
              <w:t>Deliverable</w:t>
            </w:r>
          </w:p>
        </w:tc>
        <w:tc>
          <w:tcPr>
            <w:tcW w:w="1710" w:type="dxa"/>
            <w:shd w:val="clear" w:color="auto" w:fill="595959" w:themeFill="text1" w:themeFillTint="A6"/>
          </w:tcPr>
          <w:p w14:paraId="07C6569D" w14:textId="18BDCBF0" w:rsidR="00B651A9" w:rsidRPr="001C3620" w:rsidRDefault="00B651A9" w:rsidP="00E1050C">
            <w:pPr>
              <w:pStyle w:val="Default"/>
              <w:rPr>
                <w:b/>
                <w:color w:val="FFFFFF" w:themeColor="background1"/>
                <w:sz w:val="23"/>
                <w:szCs w:val="23"/>
              </w:rPr>
            </w:pPr>
            <w:r w:rsidRPr="001C3620">
              <w:rPr>
                <w:b/>
                <w:color w:val="FFFFFF" w:themeColor="background1"/>
                <w:sz w:val="23"/>
                <w:szCs w:val="23"/>
              </w:rPr>
              <w:t>Start date</w:t>
            </w:r>
          </w:p>
        </w:tc>
        <w:tc>
          <w:tcPr>
            <w:tcW w:w="1530" w:type="dxa"/>
            <w:shd w:val="clear" w:color="auto" w:fill="595959" w:themeFill="text1" w:themeFillTint="A6"/>
          </w:tcPr>
          <w:p w14:paraId="02DFA789" w14:textId="7EF7D466" w:rsidR="00B651A9" w:rsidRPr="00175973" w:rsidRDefault="00B651A9" w:rsidP="00E1050C">
            <w:pPr>
              <w:pStyle w:val="Default"/>
              <w:rPr>
                <w:b/>
                <w:color w:val="FFFFFF" w:themeColor="background1"/>
                <w:sz w:val="22"/>
                <w:szCs w:val="22"/>
              </w:rPr>
            </w:pPr>
            <w:r w:rsidRPr="00175973">
              <w:rPr>
                <w:b/>
                <w:color w:val="FFFFFF" w:themeColor="background1"/>
                <w:sz w:val="22"/>
                <w:szCs w:val="22"/>
              </w:rPr>
              <w:t>Completion date</w:t>
            </w:r>
          </w:p>
        </w:tc>
      </w:tr>
      <w:tr w:rsidR="00AA4105" w14:paraId="1C612858" w14:textId="77777777" w:rsidTr="001C3620">
        <w:tc>
          <w:tcPr>
            <w:tcW w:w="967" w:type="dxa"/>
          </w:tcPr>
          <w:p w14:paraId="388494E5" w14:textId="5B4E0185" w:rsidR="00AA4105" w:rsidRDefault="00EB0B60" w:rsidP="00E1050C">
            <w:pPr>
              <w:pStyle w:val="Default"/>
              <w:jc w:val="center"/>
              <w:rPr>
                <w:b/>
                <w:sz w:val="23"/>
                <w:szCs w:val="23"/>
              </w:rPr>
            </w:pPr>
            <w:r>
              <w:rPr>
                <w:b/>
                <w:sz w:val="23"/>
                <w:szCs w:val="23"/>
              </w:rPr>
              <w:t>1.1</w:t>
            </w:r>
          </w:p>
        </w:tc>
        <w:tc>
          <w:tcPr>
            <w:tcW w:w="3600" w:type="dxa"/>
          </w:tcPr>
          <w:p w14:paraId="5150E3CA" w14:textId="56557AE1" w:rsidR="00AA4105" w:rsidRPr="00FE624D" w:rsidRDefault="00AA4105" w:rsidP="00E1050C">
            <w:pPr>
              <w:pStyle w:val="Default"/>
              <w:rPr>
                <w:sz w:val="22"/>
                <w:szCs w:val="22"/>
              </w:rPr>
            </w:pPr>
            <w:r>
              <w:rPr>
                <w:sz w:val="23"/>
                <w:szCs w:val="23"/>
              </w:rPr>
              <w:t>Complete final monitoring plan and attach to PRISM</w:t>
            </w:r>
          </w:p>
        </w:tc>
        <w:tc>
          <w:tcPr>
            <w:tcW w:w="1710" w:type="dxa"/>
          </w:tcPr>
          <w:p w14:paraId="273FAAFB" w14:textId="77777777" w:rsidR="00AA4105" w:rsidRDefault="00AA4105" w:rsidP="00E1050C">
            <w:pPr>
              <w:pStyle w:val="Default"/>
              <w:jc w:val="right"/>
              <w:rPr>
                <w:sz w:val="23"/>
                <w:szCs w:val="23"/>
              </w:rPr>
            </w:pPr>
          </w:p>
        </w:tc>
        <w:tc>
          <w:tcPr>
            <w:tcW w:w="1530" w:type="dxa"/>
          </w:tcPr>
          <w:p w14:paraId="508F168E" w14:textId="3E18F3A4" w:rsidR="00AA4105" w:rsidRDefault="008227A4" w:rsidP="00E1050C">
            <w:pPr>
              <w:pStyle w:val="Default"/>
              <w:jc w:val="right"/>
              <w:rPr>
                <w:sz w:val="23"/>
                <w:szCs w:val="23"/>
              </w:rPr>
            </w:pPr>
            <w:r>
              <w:rPr>
                <w:sz w:val="23"/>
                <w:szCs w:val="23"/>
              </w:rPr>
              <w:t>3/30/2020</w:t>
            </w:r>
          </w:p>
        </w:tc>
      </w:tr>
      <w:tr w:rsidR="00B651A9" w14:paraId="4E9F30EC" w14:textId="592AEF3C" w:rsidTr="001C3620">
        <w:tc>
          <w:tcPr>
            <w:tcW w:w="967" w:type="dxa"/>
          </w:tcPr>
          <w:p w14:paraId="0CCC0C5B" w14:textId="48A4BE7E" w:rsidR="00B651A9" w:rsidRPr="00175973" w:rsidRDefault="00EB0B60" w:rsidP="00E1050C">
            <w:pPr>
              <w:pStyle w:val="Default"/>
              <w:jc w:val="center"/>
              <w:rPr>
                <w:b/>
                <w:sz w:val="23"/>
                <w:szCs w:val="23"/>
              </w:rPr>
            </w:pPr>
            <w:r>
              <w:rPr>
                <w:b/>
                <w:sz w:val="23"/>
                <w:szCs w:val="23"/>
              </w:rPr>
              <w:t>1.2</w:t>
            </w:r>
          </w:p>
        </w:tc>
        <w:tc>
          <w:tcPr>
            <w:tcW w:w="3600" w:type="dxa"/>
          </w:tcPr>
          <w:p w14:paraId="0B02BE9A" w14:textId="25520585" w:rsidR="00B651A9" w:rsidRPr="00FE624D" w:rsidRDefault="00B651A9" w:rsidP="00E1050C">
            <w:pPr>
              <w:pStyle w:val="Default"/>
              <w:rPr>
                <w:sz w:val="22"/>
                <w:szCs w:val="22"/>
              </w:rPr>
            </w:pPr>
            <w:r w:rsidRPr="00FE624D">
              <w:rPr>
                <w:sz w:val="22"/>
                <w:szCs w:val="22"/>
              </w:rPr>
              <w:t>Forage Fish Spawning Surveys</w:t>
            </w:r>
          </w:p>
        </w:tc>
        <w:tc>
          <w:tcPr>
            <w:tcW w:w="1710" w:type="dxa"/>
          </w:tcPr>
          <w:p w14:paraId="344177D7" w14:textId="3FC8F6F7" w:rsidR="00B651A9" w:rsidRDefault="00285BEF" w:rsidP="00E1050C">
            <w:pPr>
              <w:pStyle w:val="Default"/>
              <w:jc w:val="right"/>
              <w:rPr>
                <w:sz w:val="23"/>
                <w:szCs w:val="23"/>
              </w:rPr>
            </w:pPr>
            <w:r>
              <w:rPr>
                <w:sz w:val="23"/>
                <w:szCs w:val="23"/>
              </w:rPr>
              <w:t>Winter 2020</w:t>
            </w:r>
          </w:p>
        </w:tc>
        <w:tc>
          <w:tcPr>
            <w:tcW w:w="1530" w:type="dxa"/>
          </w:tcPr>
          <w:p w14:paraId="5F28C10A" w14:textId="6AACEB6B" w:rsidR="00B651A9" w:rsidRDefault="00285BEF" w:rsidP="00E1050C">
            <w:pPr>
              <w:pStyle w:val="Default"/>
              <w:jc w:val="right"/>
              <w:rPr>
                <w:sz w:val="23"/>
                <w:szCs w:val="23"/>
              </w:rPr>
            </w:pPr>
            <w:r>
              <w:rPr>
                <w:sz w:val="23"/>
                <w:szCs w:val="23"/>
              </w:rPr>
              <w:t>5/31/2021</w:t>
            </w:r>
          </w:p>
        </w:tc>
      </w:tr>
      <w:tr w:rsidR="00B651A9" w14:paraId="3DCE69FA" w14:textId="583391D8" w:rsidTr="001C3620">
        <w:tc>
          <w:tcPr>
            <w:tcW w:w="967" w:type="dxa"/>
          </w:tcPr>
          <w:p w14:paraId="494F721D" w14:textId="1A035391" w:rsidR="00B651A9" w:rsidRDefault="00EB0B60" w:rsidP="00FE624D">
            <w:pPr>
              <w:pStyle w:val="Default"/>
              <w:jc w:val="center"/>
              <w:rPr>
                <w:b/>
                <w:sz w:val="23"/>
                <w:szCs w:val="23"/>
              </w:rPr>
            </w:pPr>
            <w:r>
              <w:rPr>
                <w:b/>
                <w:sz w:val="23"/>
                <w:szCs w:val="23"/>
              </w:rPr>
              <w:t>1.3</w:t>
            </w:r>
          </w:p>
        </w:tc>
        <w:tc>
          <w:tcPr>
            <w:tcW w:w="3600" w:type="dxa"/>
          </w:tcPr>
          <w:p w14:paraId="07D99586" w14:textId="74AAF8BD" w:rsidR="00B651A9" w:rsidRPr="00D841F0" w:rsidRDefault="00B651A9" w:rsidP="00FE624D">
            <w:pPr>
              <w:pStyle w:val="Default"/>
              <w:rPr>
                <w:iCs/>
                <w:color w:val="auto"/>
                <w:sz w:val="22"/>
                <w:szCs w:val="22"/>
                <w:vertAlign w:val="subscript"/>
              </w:rPr>
            </w:pPr>
            <w:r>
              <w:rPr>
                <w:sz w:val="22"/>
                <w:szCs w:val="22"/>
              </w:rPr>
              <w:t>Large Wood Accumulation</w:t>
            </w:r>
          </w:p>
        </w:tc>
        <w:tc>
          <w:tcPr>
            <w:tcW w:w="1710" w:type="dxa"/>
          </w:tcPr>
          <w:p w14:paraId="4996EB51" w14:textId="0CA9AD6F" w:rsidR="00B651A9" w:rsidRDefault="00F87B9A" w:rsidP="00FE624D">
            <w:pPr>
              <w:pStyle w:val="Default"/>
              <w:jc w:val="right"/>
              <w:rPr>
                <w:sz w:val="23"/>
                <w:szCs w:val="23"/>
              </w:rPr>
            </w:pPr>
            <w:r>
              <w:rPr>
                <w:sz w:val="23"/>
                <w:szCs w:val="23"/>
              </w:rPr>
              <w:t>Pre-construction data collected in summer 2019</w:t>
            </w:r>
          </w:p>
        </w:tc>
        <w:tc>
          <w:tcPr>
            <w:tcW w:w="1530" w:type="dxa"/>
          </w:tcPr>
          <w:p w14:paraId="4D6EEC5A" w14:textId="2C43F58C" w:rsidR="00B651A9" w:rsidRDefault="00F87B9A" w:rsidP="00FE624D">
            <w:pPr>
              <w:pStyle w:val="Default"/>
              <w:jc w:val="right"/>
              <w:rPr>
                <w:sz w:val="23"/>
                <w:szCs w:val="23"/>
              </w:rPr>
            </w:pPr>
            <w:r>
              <w:rPr>
                <w:sz w:val="23"/>
                <w:szCs w:val="23"/>
              </w:rPr>
              <w:t>5/31/2021</w:t>
            </w:r>
          </w:p>
        </w:tc>
      </w:tr>
      <w:tr w:rsidR="00F87B9A" w14:paraId="5C7B23D6" w14:textId="336E0D37" w:rsidTr="001C3620">
        <w:tc>
          <w:tcPr>
            <w:tcW w:w="967" w:type="dxa"/>
          </w:tcPr>
          <w:p w14:paraId="32C476B6" w14:textId="646F20F0" w:rsidR="00F87B9A" w:rsidRDefault="00EB0B60" w:rsidP="00F87B9A">
            <w:pPr>
              <w:pStyle w:val="Default"/>
              <w:jc w:val="center"/>
              <w:rPr>
                <w:b/>
                <w:sz w:val="23"/>
                <w:szCs w:val="23"/>
              </w:rPr>
            </w:pPr>
            <w:r>
              <w:rPr>
                <w:b/>
                <w:sz w:val="23"/>
                <w:szCs w:val="23"/>
              </w:rPr>
              <w:t>1</w:t>
            </w:r>
            <w:r w:rsidR="00F87B9A">
              <w:rPr>
                <w:b/>
                <w:sz w:val="23"/>
                <w:szCs w:val="23"/>
              </w:rPr>
              <w:t>.4</w:t>
            </w:r>
          </w:p>
        </w:tc>
        <w:tc>
          <w:tcPr>
            <w:tcW w:w="3600" w:type="dxa"/>
          </w:tcPr>
          <w:p w14:paraId="360AE442" w14:textId="33F7AB30" w:rsidR="00F87B9A" w:rsidRPr="00D841F0" w:rsidRDefault="00F87B9A" w:rsidP="00F87B9A">
            <w:pPr>
              <w:pStyle w:val="Default"/>
              <w:rPr>
                <w:iCs/>
                <w:color w:val="auto"/>
                <w:sz w:val="22"/>
                <w:szCs w:val="22"/>
                <w:vertAlign w:val="subscript"/>
              </w:rPr>
            </w:pPr>
            <w:r>
              <w:rPr>
                <w:sz w:val="22"/>
                <w:szCs w:val="22"/>
              </w:rPr>
              <w:t>Beach Wrack Composition</w:t>
            </w:r>
          </w:p>
        </w:tc>
        <w:tc>
          <w:tcPr>
            <w:tcW w:w="1710" w:type="dxa"/>
          </w:tcPr>
          <w:p w14:paraId="6466F2BD" w14:textId="7B0C6352" w:rsidR="00F87B9A" w:rsidRDefault="00F87B9A" w:rsidP="00F87B9A">
            <w:pPr>
              <w:pStyle w:val="Default"/>
              <w:jc w:val="right"/>
              <w:rPr>
                <w:sz w:val="23"/>
                <w:szCs w:val="23"/>
              </w:rPr>
            </w:pPr>
            <w:r>
              <w:rPr>
                <w:sz w:val="23"/>
                <w:szCs w:val="23"/>
              </w:rPr>
              <w:t>Pre-construction data collected in summer 2019</w:t>
            </w:r>
          </w:p>
        </w:tc>
        <w:tc>
          <w:tcPr>
            <w:tcW w:w="1530" w:type="dxa"/>
          </w:tcPr>
          <w:p w14:paraId="1FFDCCA0" w14:textId="254B3E39" w:rsidR="00F87B9A" w:rsidRDefault="00F87B9A" w:rsidP="00F87B9A">
            <w:pPr>
              <w:pStyle w:val="Default"/>
              <w:jc w:val="right"/>
              <w:rPr>
                <w:sz w:val="23"/>
                <w:szCs w:val="23"/>
              </w:rPr>
            </w:pPr>
            <w:r>
              <w:rPr>
                <w:sz w:val="23"/>
                <w:szCs w:val="23"/>
              </w:rPr>
              <w:t>5/31/2021</w:t>
            </w:r>
          </w:p>
        </w:tc>
      </w:tr>
      <w:tr w:rsidR="00F87B9A" w14:paraId="7036B8BD" w14:textId="669FE133" w:rsidTr="001C3620">
        <w:tc>
          <w:tcPr>
            <w:tcW w:w="967" w:type="dxa"/>
          </w:tcPr>
          <w:p w14:paraId="7B1AA726" w14:textId="164F7813" w:rsidR="00F87B9A" w:rsidRDefault="00EB0B60" w:rsidP="00F87B9A">
            <w:pPr>
              <w:pStyle w:val="Default"/>
              <w:jc w:val="center"/>
              <w:rPr>
                <w:b/>
                <w:sz w:val="23"/>
                <w:szCs w:val="23"/>
              </w:rPr>
            </w:pPr>
            <w:r>
              <w:rPr>
                <w:b/>
                <w:sz w:val="23"/>
                <w:szCs w:val="23"/>
              </w:rPr>
              <w:t>1</w:t>
            </w:r>
            <w:r w:rsidR="00F87B9A">
              <w:rPr>
                <w:b/>
                <w:sz w:val="23"/>
                <w:szCs w:val="23"/>
              </w:rPr>
              <w:t>.5</w:t>
            </w:r>
          </w:p>
        </w:tc>
        <w:tc>
          <w:tcPr>
            <w:tcW w:w="3600" w:type="dxa"/>
          </w:tcPr>
          <w:p w14:paraId="488B57E9" w14:textId="549588F2" w:rsidR="00F87B9A" w:rsidRPr="00FE624D" w:rsidRDefault="00F87B9A" w:rsidP="00F87B9A">
            <w:pPr>
              <w:pStyle w:val="Default"/>
              <w:rPr>
                <w:sz w:val="23"/>
                <w:szCs w:val="23"/>
              </w:rPr>
            </w:pPr>
            <w:r w:rsidRPr="00FE624D">
              <w:rPr>
                <w:sz w:val="23"/>
                <w:szCs w:val="23"/>
              </w:rPr>
              <w:t>Beach Elevations</w:t>
            </w:r>
          </w:p>
        </w:tc>
        <w:tc>
          <w:tcPr>
            <w:tcW w:w="1710" w:type="dxa"/>
          </w:tcPr>
          <w:p w14:paraId="52B7CCC0" w14:textId="6C106665" w:rsidR="00F87B9A" w:rsidRDefault="00F87B9A" w:rsidP="00F87B9A">
            <w:pPr>
              <w:pStyle w:val="Default"/>
              <w:jc w:val="right"/>
              <w:rPr>
                <w:sz w:val="22"/>
                <w:szCs w:val="22"/>
              </w:rPr>
            </w:pPr>
            <w:r>
              <w:rPr>
                <w:sz w:val="23"/>
                <w:szCs w:val="23"/>
              </w:rPr>
              <w:t>Pre-construction data collected in summer 2019</w:t>
            </w:r>
          </w:p>
        </w:tc>
        <w:tc>
          <w:tcPr>
            <w:tcW w:w="1530" w:type="dxa"/>
          </w:tcPr>
          <w:p w14:paraId="1E8F61E2" w14:textId="4C35177E" w:rsidR="00F87B9A" w:rsidRDefault="00F87B9A" w:rsidP="00F87B9A">
            <w:pPr>
              <w:pStyle w:val="Default"/>
              <w:jc w:val="right"/>
              <w:rPr>
                <w:sz w:val="22"/>
                <w:szCs w:val="22"/>
              </w:rPr>
            </w:pPr>
            <w:r>
              <w:rPr>
                <w:sz w:val="23"/>
                <w:szCs w:val="23"/>
              </w:rPr>
              <w:t>5/31/2021</w:t>
            </w:r>
          </w:p>
        </w:tc>
      </w:tr>
      <w:tr w:rsidR="00F87B9A" w14:paraId="13A82BCC" w14:textId="77777777" w:rsidTr="001C3620">
        <w:tc>
          <w:tcPr>
            <w:tcW w:w="967" w:type="dxa"/>
          </w:tcPr>
          <w:p w14:paraId="0488A1A2" w14:textId="01BE1F10" w:rsidR="00F87B9A" w:rsidRDefault="00EB0B60" w:rsidP="00F87B9A">
            <w:pPr>
              <w:pStyle w:val="Default"/>
              <w:jc w:val="center"/>
              <w:rPr>
                <w:b/>
                <w:sz w:val="23"/>
                <w:szCs w:val="23"/>
              </w:rPr>
            </w:pPr>
            <w:r>
              <w:rPr>
                <w:b/>
                <w:sz w:val="23"/>
                <w:szCs w:val="23"/>
              </w:rPr>
              <w:t>1</w:t>
            </w:r>
            <w:r w:rsidR="00F87B9A">
              <w:rPr>
                <w:b/>
                <w:sz w:val="23"/>
                <w:szCs w:val="23"/>
              </w:rPr>
              <w:t>.6</w:t>
            </w:r>
          </w:p>
        </w:tc>
        <w:tc>
          <w:tcPr>
            <w:tcW w:w="3600" w:type="dxa"/>
          </w:tcPr>
          <w:p w14:paraId="08AD7070" w14:textId="7C525259" w:rsidR="00F87B9A" w:rsidRPr="00FE624D" w:rsidRDefault="00F87B9A" w:rsidP="00F87B9A">
            <w:pPr>
              <w:pStyle w:val="Default"/>
              <w:rPr>
                <w:sz w:val="23"/>
                <w:szCs w:val="23"/>
              </w:rPr>
            </w:pPr>
            <w:r w:rsidRPr="00FE624D">
              <w:rPr>
                <w:sz w:val="23"/>
                <w:szCs w:val="23"/>
              </w:rPr>
              <w:t>Insect fallout</w:t>
            </w:r>
            <w:r w:rsidR="00EB0B60">
              <w:rPr>
                <w:sz w:val="23"/>
                <w:szCs w:val="23"/>
              </w:rPr>
              <w:t>, pending capacity from UW for analysis</w:t>
            </w:r>
          </w:p>
        </w:tc>
        <w:tc>
          <w:tcPr>
            <w:tcW w:w="1710" w:type="dxa"/>
          </w:tcPr>
          <w:p w14:paraId="417E33E3" w14:textId="2D2174DB" w:rsidR="00F87B9A" w:rsidRDefault="00F87B9A" w:rsidP="00F87B9A">
            <w:pPr>
              <w:pStyle w:val="Default"/>
              <w:jc w:val="right"/>
              <w:rPr>
                <w:sz w:val="22"/>
                <w:szCs w:val="22"/>
              </w:rPr>
            </w:pPr>
            <w:r>
              <w:rPr>
                <w:sz w:val="22"/>
                <w:szCs w:val="22"/>
              </w:rPr>
              <w:t>Spring 2020 (pre-construction)</w:t>
            </w:r>
          </w:p>
        </w:tc>
        <w:tc>
          <w:tcPr>
            <w:tcW w:w="1530" w:type="dxa"/>
          </w:tcPr>
          <w:p w14:paraId="21995D97" w14:textId="23F12808" w:rsidR="00F87B9A" w:rsidRDefault="00F87B9A" w:rsidP="00F87B9A">
            <w:pPr>
              <w:pStyle w:val="Default"/>
              <w:jc w:val="right"/>
              <w:rPr>
                <w:sz w:val="22"/>
                <w:szCs w:val="22"/>
              </w:rPr>
            </w:pPr>
            <w:r>
              <w:rPr>
                <w:sz w:val="22"/>
                <w:szCs w:val="22"/>
              </w:rPr>
              <w:t>5/31/2021</w:t>
            </w:r>
          </w:p>
        </w:tc>
      </w:tr>
    </w:tbl>
    <w:p w14:paraId="645C80EE" w14:textId="77777777" w:rsidR="00B651A9" w:rsidRDefault="00B651A9" w:rsidP="00B651A9">
      <w:pPr>
        <w:pStyle w:val="Default"/>
        <w:rPr>
          <w:b/>
          <w:sz w:val="22"/>
          <w:szCs w:val="22"/>
        </w:rPr>
      </w:pPr>
    </w:p>
    <w:p w14:paraId="109C9870" w14:textId="08D25BCE" w:rsidR="00B651A9" w:rsidRDefault="00B651A9" w:rsidP="00B651A9">
      <w:pPr>
        <w:pStyle w:val="Default"/>
        <w:rPr>
          <w:sz w:val="22"/>
          <w:szCs w:val="22"/>
        </w:rPr>
      </w:pPr>
      <w:r>
        <w:rPr>
          <w:b/>
          <w:sz w:val="22"/>
          <w:szCs w:val="22"/>
        </w:rPr>
        <w:t xml:space="preserve">Total Task </w:t>
      </w:r>
      <w:r w:rsidR="00EB0B60">
        <w:rPr>
          <w:b/>
          <w:sz w:val="22"/>
          <w:szCs w:val="22"/>
        </w:rPr>
        <w:t xml:space="preserve">1 </w:t>
      </w:r>
      <w:r>
        <w:rPr>
          <w:b/>
          <w:sz w:val="22"/>
          <w:szCs w:val="22"/>
        </w:rPr>
        <w:t xml:space="preserve">Cost (including match): </w:t>
      </w:r>
      <w:r w:rsidRPr="00FA1520">
        <w:rPr>
          <w:sz w:val="22"/>
          <w:szCs w:val="22"/>
        </w:rPr>
        <w:t>_</w:t>
      </w:r>
      <w:r w:rsidR="008337C2" w:rsidRPr="00FA1520">
        <w:rPr>
          <w:sz w:val="22"/>
          <w:szCs w:val="22"/>
        </w:rPr>
        <w:t>$</w:t>
      </w:r>
      <w:r w:rsidR="00855381" w:rsidRPr="00FA1520">
        <w:rPr>
          <w:sz w:val="22"/>
          <w:szCs w:val="22"/>
        </w:rPr>
        <w:t>4,000.00</w:t>
      </w:r>
    </w:p>
    <w:p w14:paraId="3C1A6FD8" w14:textId="77777777" w:rsidR="005244D0" w:rsidRPr="007D638C" w:rsidRDefault="005244D0" w:rsidP="008354DE">
      <w:pPr>
        <w:spacing w:after="0"/>
        <w:rPr>
          <w:rFonts w:ascii="Calibri" w:hAnsi="Calibri" w:cs="Calibri"/>
          <w:b/>
          <w:color w:val="000000"/>
        </w:rPr>
      </w:pPr>
    </w:p>
    <w:p w14:paraId="2750A1BA" w14:textId="0918922E" w:rsidR="00A72AB9" w:rsidRPr="00B66B93" w:rsidRDefault="00B33BEB" w:rsidP="00A72AB9">
      <w:pPr>
        <w:pStyle w:val="Default"/>
        <w:rPr>
          <w:sz w:val="28"/>
          <w:szCs w:val="23"/>
        </w:rPr>
      </w:pPr>
      <w:r>
        <w:rPr>
          <w:b/>
          <w:sz w:val="28"/>
          <w:szCs w:val="23"/>
        </w:rPr>
        <w:t xml:space="preserve">Task </w:t>
      </w:r>
      <w:r w:rsidR="00EB0B60">
        <w:rPr>
          <w:b/>
          <w:sz w:val="28"/>
          <w:szCs w:val="23"/>
        </w:rPr>
        <w:t>2</w:t>
      </w:r>
      <w:r>
        <w:rPr>
          <w:b/>
          <w:sz w:val="28"/>
          <w:szCs w:val="23"/>
        </w:rPr>
        <w:t xml:space="preserve">: </w:t>
      </w:r>
      <w:r w:rsidR="00592F3B" w:rsidRPr="00592F3B">
        <w:rPr>
          <w:sz w:val="28"/>
          <w:szCs w:val="23"/>
        </w:rPr>
        <w:t xml:space="preserve">Monitoring </w:t>
      </w:r>
      <w:r w:rsidR="00D85290">
        <w:rPr>
          <w:sz w:val="28"/>
          <w:szCs w:val="23"/>
        </w:rPr>
        <w:t xml:space="preserve">Project Report </w:t>
      </w:r>
    </w:p>
    <w:p w14:paraId="176CE32B" w14:textId="6C303797" w:rsidR="00D42CAD" w:rsidRPr="00EB0B60" w:rsidRDefault="00F87B9A" w:rsidP="00D42CAD">
      <w:pPr>
        <w:pStyle w:val="Default"/>
        <w:rPr>
          <w:sz w:val="22"/>
          <w:szCs w:val="22"/>
        </w:rPr>
      </w:pPr>
      <w:r w:rsidRPr="00EB0B60">
        <w:rPr>
          <w:sz w:val="22"/>
          <w:szCs w:val="22"/>
        </w:rPr>
        <w:t>A summary report of monitoring activities and raw data will be compiled and provided as a deliverable. The report will include all data collected including pre-construction surveys completed by WDFW. The data will be analyzed only to provide a point in time assessment of changes to habitat post-construction with an understanding that the dynamic nature of these habitats require longer term data sets to effectively assess change and compare to armored and unarmored sites.</w:t>
      </w:r>
    </w:p>
    <w:p w14:paraId="03D01AE5" w14:textId="61A46C40" w:rsidR="00F87B9A" w:rsidRPr="00EB0B60" w:rsidRDefault="00F87B9A" w:rsidP="00D42CAD">
      <w:pPr>
        <w:pStyle w:val="Default"/>
        <w:rPr>
          <w:sz w:val="22"/>
          <w:szCs w:val="22"/>
        </w:rPr>
      </w:pPr>
    </w:p>
    <w:p w14:paraId="7BD9C1C4" w14:textId="0D8F0A44" w:rsidR="00F87B9A" w:rsidRDefault="00F87B9A" w:rsidP="00D42CAD">
      <w:pPr>
        <w:pStyle w:val="Default"/>
        <w:rPr>
          <w:sz w:val="22"/>
          <w:szCs w:val="22"/>
        </w:rPr>
      </w:pPr>
      <w:r w:rsidRPr="00EB0B60">
        <w:rPr>
          <w:sz w:val="22"/>
          <w:szCs w:val="22"/>
        </w:rPr>
        <w:lastRenderedPageBreak/>
        <w:t>NWSF has a goal of monitoring restoration sites at a minimum of one</w:t>
      </w:r>
      <w:r w:rsidR="00BA5C47" w:rsidRPr="00EB0B60">
        <w:rPr>
          <w:sz w:val="22"/>
          <w:szCs w:val="22"/>
        </w:rPr>
        <w:t>-</w:t>
      </w:r>
      <w:r w:rsidRPr="00EB0B60">
        <w:rPr>
          <w:sz w:val="22"/>
          <w:szCs w:val="22"/>
        </w:rPr>
        <w:t>year pre-construction and then annually (except for forage fish</w:t>
      </w:r>
      <w:r w:rsidR="00EB0B60">
        <w:rPr>
          <w:sz w:val="22"/>
          <w:szCs w:val="22"/>
        </w:rPr>
        <w:t>,</w:t>
      </w:r>
      <w:r w:rsidRPr="00EB0B60">
        <w:rPr>
          <w:sz w:val="22"/>
          <w:szCs w:val="22"/>
        </w:rPr>
        <w:t xml:space="preserve"> which is monthly)</w:t>
      </w:r>
      <w:r w:rsidR="00BA5C47" w:rsidRPr="00EB0B60">
        <w:rPr>
          <w:sz w:val="22"/>
          <w:szCs w:val="22"/>
        </w:rPr>
        <w:t xml:space="preserve"> for five years post-construction, then at Year 7 and Year 10.</w:t>
      </w:r>
    </w:p>
    <w:p w14:paraId="1BA83BA1" w14:textId="77777777" w:rsidR="00EB0B60" w:rsidRPr="00EB0B60" w:rsidRDefault="00EB0B60" w:rsidP="00D42CAD">
      <w:pPr>
        <w:pStyle w:val="Default"/>
        <w:rPr>
          <w:sz w:val="22"/>
          <w:szCs w:val="22"/>
        </w:rPr>
      </w:pPr>
    </w:p>
    <w:tbl>
      <w:tblPr>
        <w:tblStyle w:val="TableGrid1"/>
        <w:tblW w:w="7717" w:type="dxa"/>
        <w:tblInd w:w="108" w:type="dxa"/>
        <w:tblLayout w:type="fixed"/>
        <w:tblLook w:val="04A0" w:firstRow="1" w:lastRow="0" w:firstColumn="1" w:lastColumn="0" w:noHBand="0" w:noVBand="1"/>
      </w:tblPr>
      <w:tblGrid>
        <w:gridCol w:w="967"/>
        <w:gridCol w:w="4950"/>
        <w:gridCol w:w="1800"/>
      </w:tblGrid>
      <w:tr w:rsidR="00B651A9" w:rsidRPr="00D42CAD" w14:paraId="7F9EFC7B" w14:textId="77777777" w:rsidTr="00B651A9">
        <w:tc>
          <w:tcPr>
            <w:tcW w:w="967" w:type="dxa"/>
            <w:shd w:val="clear" w:color="auto" w:fill="595959" w:themeFill="text1" w:themeFillTint="A6"/>
          </w:tcPr>
          <w:p w14:paraId="4753B4F9" w14:textId="77777777" w:rsidR="00B651A9" w:rsidRPr="00D42CAD" w:rsidRDefault="00B651A9" w:rsidP="00AD4804">
            <w:pPr>
              <w:autoSpaceDE w:val="0"/>
              <w:autoSpaceDN w:val="0"/>
              <w:adjustRightInd w:val="0"/>
              <w:jc w:val="center"/>
              <w:rPr>
                <w:rFonts w:ascii="Calibri" w:hAnsi="Calibri" w:cs="Calibri"/>
                <w:color w:val="FFFFFF" w:themeColor="background1"/>
                <w:sz w:val="23"/>
                <w:szCs w:val="23"/>
              </w:rPr>
            </w:pPr>
            <w:r w:rsidRPr="00D42CAD">
              <w:rPr>
                <w:rFonts w:ascii="Calibri" w:hAnsi="Calibri" w:cs="Calibri"/>
                <w:b/>
                <w:color w:val="FFFFFF" w:themeColor="background1"/>
              </w:rPr>
              <w:t>Number</w:t>
            </w:r>
          </w:p>
        </w:tc>
        <w:tc>
          <w:tcPr>
            <w:tcW w:w="4950" w:type="dxa"/>
            <w:shd w:val="clear" w:color="auto" w:fill="595959" w:themeFill="text1" w:themeFillTint="A6"/>
          </w:tcPr>
          <w:p w14:paraId="715291D1" w14:textId="77777777" w:rsidR="00B651A9" w:rsidRPr="00D42CAD" w:rsidRDefault="00B651A9" w:rsidP="00AD4804">
            <w:pPr>
              <w:autoSpaceDE w:val="0"/>
              <w:autoSpaceDN w:val="0"/>
              <w:adjustRightInd w:val="0"/>
              <w:jc w:val="center"/>
              <w:rPr>
                <w:rFonts w:ascii="Calibri" w:hAnsi="Calibri" w:cs="Calibri"/>
                <w:color w:val="FFFFFF" w:themeColor="background1"/>
                <w:sz w:val="23"/>
                <w:szCs w:val="23"/>
              </w:rPr>
            </w:pPr>
            <w:r w:rsidRPr="00D42CAD">
              <w:rPr>
                <w:rFonts w:ascii="Calibri" w:hAnsi="Calibri" w:cs="Calibri"/>
                <w:b/>
                <w:color w:val="FFFFFF" w:themeColor="background1"/>
              </w:rPr>
              <w:t>Deliverable</w:t>
            </w:r>
          </w:p>
        </w:tc>
        <w:tc>
          <w:tcPr>
            <w:tcW w:w="1800" w:type="dxa"/>
            <w:shd w:val="clear" w:color="auto" w:fill="595959" w:themeFill="text1" w:themeFillTint="A6"/>
          </w:tcPr>
          <w:p w14:paraId="2855D37C" w14:textId="450159B2" w:rsidR="00B651A9" w:rsidRPr="00D42CAD" w:rsidRDefault="00B651A9" w:rsidP="00AD4804">
            <w:pPr>
              <w:autoSpaceDE w:val="0"/>
              <w:autoSpaceDN w:val="0"/>
              <w:adjustRightInd w:val="0"/>
              <w:jc w:val="center"/>
              <w:rPr>
                <w:rFonts w:ascii="Calibri" w:hAnsi="Calibri" w:cs="Calibri"/>
                <w:color w:val="FFFFFF" w:themeColor="background1"/>
                <w:sz w:val="23"/>
                <w:szCs w:val="23"/>
              </w:rPr>
            </w:pPr>
            <w:r w:rsidRPr="00D42CAD">
              <w:rPr>
                <w:rFonts w:ascii="Calibri" w:hAnsi="Calibri" w:cs="Calibri"/>
                <w:b/>
                <w:color w:val="FFFFFF" w:themeColor="background1"/>
              </w:rPr>
              <w:t>Completion date</w:t>
            </w:r>
          </w:p>
        </w:tc>
      </w:tr>
      <w:tr w:rsidR="00B651A9" w:rsidRPr="006D22A7" w14:paraId="74C6678B" w14:textId="77777777" w:rsidTr="00B651A9">
        <w:tc>
          <w:tcPr>
            <w:tcW w:w="967" w:type="dxa"/>
          </w:tcPr>
          <w:p w14:paraId="62B2E801" w14:textId="0EACA5DD" w:rsidR="00B651A9" w:rsidRDefault="00EB0B60" w:rsidP="00AD4804">
            <w:pPr>
              <w:autoSpaceDE w:val="0"/>
              <w:autoSpaceDN w:val="0"/>
              <w:adjustRightInd w:val="0"/>
              <w:jc w:val="center"/>
              <w:rPr>
                <w:rFonts w:ascii="Calibri" w:hAnsi="Calibri" w:cs="Calibri"/>
                <w:b/>
                <w:color w:val="000000"/>
                <w:sz w:val="23"/>
                <w:szCs w:val="23"/>
              </w:rPr>
            </w:pPr>
            <w:r>
              <w:rPr>
                <w:rFonts w:ascii="Calibri" w:hAnsi="Calibri" w:cs="Calibri"/>
                <w:b/>
                <w:color w:val="000000"/>
                <w:sz w:val="23"/>
                <w:szCs w:val="23"/>
              </w:rPr>
              <w:t>2</w:t>
            </w:r>
            <w:r w:rsidR="00B651A9">
              <w:rPr>
                <w:rFonts w:ascii="Calibri" w:hAnsi="Calibri" w:cs="Calibri"/>
                <w:b/>
                <w:color w:val="000000"/>
                <w:sz w:val="23"/>
                <w:szCs w:val="23"/>
              </w:rPr>
              <w:t>.1</w:t>
            </w:r>
          </w:p>
        </w:tc>
        <w:tc>
          <w:tcPr>
            <w:tcW w:w="4950" w:type="dxa"/>
          </w:tcPr>
          <w:p w14:paraId="047B66DA" w14:textId="77D42A4F" w:rsidR="00B651A9" w:rsidRPr="00D841F0" w:rsidRDefault="00B651A9" w:rsidP="00D841F0">
            <w:pPr>
              <w:autoSpaceDE w:val="0"/>
              <w:autoSpaceDN w:val="0"/>
              <w:adjustRightInd w:val="0"/>
              <w:rPr>
                <w:rFonts w:ascii="Calibri" w:hAnsi="Calibri" w:cs="Calibri"/>
                <w:color w:val="000000"/>
                <w:highlight w:val="yellow"/>
              </w:rPr>
            </w:pPr>
            <w:r w:rsidRPr="00A324EE">
              <w:rPr>
                <w:rFonts w:cstheme="minorHAnsi"/>
                <w:iCs/>
                <w:sz w:val="32"/>
                <w:vertAlign w:val="subscript"/>
              </w:rPr>
              <w:t>Data collection log (summary table of data collection activities)</w:t>
            </w:r>
          </w:p>
        </w:tc>
        <w:tc>
          <w:tcPr>
            <w:tcW w:w="1800" w:type="dxa"/>
          </w:tcPr>
          <w:p w14:paraId="7039CEFB" w14:textId="3ABD832E" w:rsidR="00B651A9" w:rsidRPr="006D22A7" w:rsidRDefault="00EB0B60" w:rsidP="00EB0B60">
            <w:pPr>
              <w:autoSpaceDE w:val="0"/>
              <w:autoSpaceDN w:val="0"/>
              <w:adjustRightInd w:val="0"/>
              <w:jc w:val="right"/>
              <w:rPr>
                <w:rFonts w:ascii="Calibri" w:hAnsi="Calibri" w:cs="Calibri"/>
                <w:color w:val="000000"/>
                <w:sz w:val="23"/>
                <w:szCs w:val="23"/>
              </w:rPr>
            </w:pPr>
            <w:r>
              <w:rPr>
                <w:rFonts w:ascii="Calibri" w:hAnsi="Calibri" w:cs="Calibri"/>
                <w:color w:val="000000"/>
                <w:sz w:val="23"/>
                <w:szCs w:val="23"/>
              </w:rPr>
              <w:t>6/30/2021</w:t>
            </w:r>
          </w:p>
        </w:tc>
      </w:tr>
      <w:tr w:rsidR="00B651A9" w:rsidRPr="006D22A7" w14:paraId="7EE1A326" w14:textId="77777777" w:rsidTr="00B651A9">
        <w:tc>
          <w:tcPr>
            <w:tcW w:w="967" w:type="dxa"/>
          </w:tcPr>
          <w:p w14:paraId="114902FB" w14:textId="1063B6C7" w:rsidR="00B651A9" w:rsidRPr="006D22A7" w:rsidRDefault="00EB0B60" w:rsidP="00AD4804">
            <w:pPr>
              <w:autoSpaceDE w:val="0"/>
              <w:autoSpaceDN w:val="0"/>
              <w:adjustRightInd w:val="0"/>
              <w:jc w:val="center"/>
              <w:rPr>
                <w:rFonts w:ascii="Calibri" w:hAnsi="Calibri" w:cs="Calibri"/>
                <w:b/>
                <w:color w:val="000000"/>
                <w:sz w:val="23"/>
                <w:szCs w:val="23"/>
              </w:rPr>
            </w:pPr>
            <w:r>
              <w:rPr>
                <w:rFonts w:ascii="Calibri" w:hAnsi="Calibri" w:cs="Calibri"/>
                <w:b/>
                <w:color w:val="000000"/>
                <w:sz w:val="23"/>
                <w:szCs w:val="23"/>
              </w:rPr>
              <w:t>2</w:t>
            </w:r>
            <w:r w:rsidR="00B651A9">
              <w:rPr>
                <w:rFonts w:ascii="Calibri" w:hAnsi="Calibri" w:cs="Calibri"/>
                <w:b/>
                <w:color w:val="000000"/>
                <w:sz w:val="23"/>
                <w:szCs w:val="23"/>
              </w:rPr>
              <w:t>.2</w:t>
            </w:r>
          </w:p>
        </w:tc>
        <w:tc>
          <w:tcPr>
            <w:tcW w:w="4950" w:type="dxa"/>
          </w:tcPr>
          <w:p w14:paraId="39041A3F" w14:textId="1B2D4622" w:rsidR="00B651A9" w:rsidRPr="00D841F0" w:rsidRDefault="008F09C7" w:rsidP="000A1EE1">
            <w:pPr>
              <w:autoSpaceDE w:val="0"/>
              <w:autoSpaceDN w:val="0"/>
              <w:adjustRightInd w:val="0"/>
              <w:rPr>
                <w:rFonts w:ascii="Calibri" w:hAnsi="Calibri" w:cs="Calibri"/>
                <w:color w:val="000000"/>
              </w:rPr>
            </w:pPr>
            <w:r>
              <w:rPr>
                <w:rFonts w:ascii="Calibri" w:hAnsi="Calibri" w:cs="Calibri"/>
                <w:color w:val="000000"/>
              </w:rPr>
              <w:t xml:space="preserve">Summary of completed monitoring, monitoring results to date, and plans for continued monitoring.  </w:t>
            </w:r>
          </w:p>
        </w:tc>
        <w:tc>
          <w:tcPr>
            <w:tcW w:w="1800" w:type="dxa"/>
          </w:tcPr>
          <w:p w14:paraId="702CB9D2" w14:textId="6198EAC5" w:rsidR="00B651A9" w:rsidRPr="006D22A7" w:rsidRDefault="00EB0B60" w:rsidP="00AD4804">
            <w:pPr>
              <w:autoSpaceDE w:val="0"/>
              <w:autoSpaceDN w:val="0"/>
              <w:adjustRightInd w:val="0"/>
              <w:jc w:val="right"/>
              <w:rPr>
                <w:rFonts w:ascii="Calibri" w:hAnsi="Calibri" w:cs="Calibri"/>
                <w:color w:val="000000"/>
                <w:sz w:val="23"/>
                <w:szCs w:val="23"/>
              </w:rPr>
            </w:pPr>
            <w:r>
              <w:rPr>
                <w:rFonts w:ascii="Calibri" w:hAnsi="Calibri" w:cs="Calibri"/>
                <w:color w:val="000000"/>
                <w:sz w:val="23"/>
                <w:szCs w:val="23"/>
              </w:rPr>
              <w:t>6/30/2021</w:t>
            </w:r>
          </w:p>
        </w:tc>
      </w:tr>
      <w:tr w:rsidR="00B651A9" w:rsidRPr="006D22A7" w14:paraId="4F3E0357" w14:textId="77777777" w:rsidTr="00B651A9">
        <w:tc>
          <w:tcPr>
            <w:tcW w:w="967" w:type="dxa"/>
          </w:tcPr>
          <w:p w14:paraId="155A1A39" w14:textId="32E83CFA" w:rsidR="00B651A9" w:rsidRPr="006D22A7" w:rsidRDefault="00EB0B60" w:rsidP="00AD4804">
            <w:pPr>
              <w:autoSpaceDE w:val="0"/>
              <w:autoSpaceDN w:val="0"/>
              <w:adjustRightInd w:val="0"/>
              <w:jc w:val="center"/>
              <w:rPr>
                <w:rFonts w:ascii="Calibri" w:hAnsi="Calibri" w:cs="Calibri"/>
                <w:b/>
                <w:color w:val="000000"/>
                <w:sz w:val="23"/>
                <w:szCs w:val="23"/>
              </w:rPr>
            </w:pPr>
            <w:r>
              <w:rPr>
                <w:rFonts w:ascii="Calibri" w:hAnsi="Calibri" w:cs="Calibri"/>
                <w:b/>
                <w:color w:val="000000"/>
                <w:sz w:val="23"/>
                <w:szCs w:val="23"/>
              </w:rPr>
              <w:t>2</w:t>
            </w:r>
            <w:r w:rsidR="00B651A9">
              <w:rPr>
                <w:rFonts w:ascii="Calibri" w:hAnsi="Calibri" w:cs="Calibri"/>
                <w:b/>
                <w:color w:val="000000"/>
                <w:sz w:val="23"/>
                <w:szCs w:val="23"/>
              </w:rPr>
              <w:t>.3</w:t>
            </w:r>
          </w:p>
        </w:tc>
        <w:tc>
          <w:tcPr>
            <w:tcW w:w="4950" w:type="dxa"/>
          </w:tcPr>
          <w:p w14:paraId="00703085" w14:textId="77777777" w:rsidR="008F09C7" w:rsidRDefault="008F09C7" w:rsidP="008F09C7">
            <w:pPr>
              <w:pStyle w:val="CommentText"/>
            </w:pPr>
            <w:r>
              <w:rPr>
                <w:sz w:val="22"/>
                <w:szCs w:val="22"/>
              </w:rPr>
              <w:t>Draft Monitoring Report, once all planned monitoring is complete.  NOTE:  ESRP recognizes that monitoring will continue outside of the grant contract period with outside funding.  As we have a vested interest in the project and its outcome, we would like to have the opportunity to review the draft monitoring report, once it is available</w:t>
            </w:r>
          </w:p>
          <w:p w14:paraId="3CACBB93" w14:textId="2194D7BD" w:rsidR="00B651A9" w:rsidRPr="00D841F0" w:rsidRDefault="00B651A9" w:rsidP="000838B8">
            <w:pPr>
              <w:pStyle w:val="Default"/>
              <w:rPr>
                <w:sz w:val="22"/>
                <w:szCs w:val="22"/>
              </w:rPr>
            </w:pPr>
          </w:p>
        </w:tc>
        <w:tc>
          <w:tcPr>
            <w:tcW w:w="1800" w:type="dxa"/>
          </w:tcPr>
          <w:p w14:paraId="4F5D7428" w14:textId="51698C31" w:rsidR="00B651A9" w:rsidRPr="006D22A7" w:rsidRDefault="00EB0B60" w:rsidP="00AD4804">
            <w:pPr>
              <w:autoSpaceDE w:val="0"/>
              <w:autoSpaceDN w:val="0"/>
              <w:adjustRightInd w:val="0"/>
              <w:jc w:val="right"/>
              <w:rPr>
                <w:rFonts w:ascii="Calibri" w:hAnsi="Calibri" w:cs="Calibri"/>
                <w:color w:val="000000"/>
                <w:sz w:val="23"/>
                <w:szCs w:val="23"/>
              </w:rPr>
            </w:pPr>
            <w:r>
              <w:rPr>
                <w:rFonts w:ascii="Calibri" w:hAnsi="Calibri" w:cs="Calibri"/>
                <w:color w:val="000000"/>
                <w:sz w:val="23"/>
                <w:szCs w:val="23"/>
              </w:rPr>
              <w:t>TBD</w:t>
            </w:r>
          </w:p>
        </w:tc>
      </w:tr>
      <w:tr w:rsidR="00B651A9" w:rsidRPr="006D22A7" w14:paraId="6986D728" w14:textId="77777777" w:rsidTr="00B651A9">
        <w:tc>
          <w:tcPr>
            <w:tcW w:w="967" w:type="dxa"/>
          </w:tcPr>
          <w:p w14:paraId="63E47AEE" w14:textId="3A132646" w:rsidR="00B651A9" w:rsidRPr="006D22A7" w:rsidRDefault="00B651A9" w:rsidP="00AD4804">
            <w:pPr>
              <w:autoSpaceDE w:val="0"/>
              <w:autoSpaceDN w:val="0"/>
              <w:adjustRightInd w:val="0"/>
              <w:jc w:val="center"/>
              <w:rPr>
                <w:rFonts w:ascii="Calibri" w:hAnsi="Calibri" w:cs="Calibri"/>
                <w:b/>
                <w:color w:val="000000"/>
                <w:sz w:val="23"/>
                <w:szCs w:val="23"/>
              </w:rPr>
            </w:pPr>
          </w:p>
        </w:tc>
        <w:tc>
          <w:tcPr>
            <w:tcW w:w="4950" w:type="dxa"/>
          </w:tcPr>
          <w:p w14:paraId="4F4CD7CC" w14:textId="0BB02858" w:rsidR="00B651A9" w:rsidRPr="00D841F0" w:rsidRDefault="00B651A9" w:rsidP="006D22A7">
            <w:pPr>
              <w:pStyle w:val="Default"/>
              <w:rPr>
                <w:sz w:val="22"/>
                <w:szCs w:val="22"/>
              </w:rPr>
            </w:pPr>
          </w:p>
        </w:tc>
        <w:tc>
          <w:tcPr>
            <w:tcW w:w="1800" w:type="dxa"/>
          </w:tcPr>
          <w:p w14:paraId="5552EE25" w14:textId="3195188D" w:rsidR="00B651A9" w:rsidRPr="006D22A7" w:rsidRDefault="00B651A9" w:rsidP="00AD4804">
            <w:pPr>
              <w:autoSpaceDE w:val="0"/>
              <w:autoSpaceDN w:val="0"/>
              <w:adjustRightInd w:val="0"/>
              <w:jc w:val="right"/>
              <w:rPr>
                <w:rFonts w:ascii="Calibri" w:hAnsi="Calibri" w:cs="Calibri"/>
                <w:color w:val="000000"/>
                <w:sz w:val="23"/>
                <w:szCs w:val="23"/>
              </w:rPr>
            </w:pPr>
          </w:p>
        </w:tc>
      </w:tr>
    </w:tbl>
    <w:p w14:paraId="3BA9913A" w14:textId="77777777" w:rsidR="00B651A9" w:rsidRDefault="00B651A9" w:rsidP="00B651A9">
      <w:pPr>
        <w:pStyle w:val="Default"/>
        <w:rPr>
          <w:b/>
          <w:sz w:val="22"/>
          <w:szCs w:val="22"/>
        </w:rPr>
      </w:pPr>
    </w:p>
    <w:p w14:paraId="5B344AFC" w14:textId="00087471" w:rsidR="00B651A9" w:rsidRDefault="00B651A9" w:rsidP="00B651A9">
      <w:pPr>
        <w:pStyle w:val="Default"/>
        <w:rPr>
          <w:sz w:val="22"/>
          <w:szCs w:val="22"/>
        </w:rPr>
      </w:pPr>
      <w:r>
        <w:rPr>
          <w:b/>
          <w:sz w:val="22"/>
          <w:szCs w:val="22"/>
        </w:rPr>
        <w:t xml:space="preserve">Total Task </w:t>
      </w:r>
      <w:r w:rsidR="00EB0B60">
        <w:rPr>
          <w:b/>
          <w:sz w:val="22"/>
          <w:szCs w:val="22"/>
        </w:rPr>
        <w:t xml:space="preserve">2 </w:t>
      </w:r>
      <w:r>
        <w:rPr>
          <w:b/>
          <w:sz w:val="22"/>
          <w:szCs w:val="22"/>
        </w:rPr>
        <w:t xml:space="preserve">Cost (including match): </w:t>
      </w:r>
      <w:r w:rsidRPr="00FA1520">
        <w:rPr>
          <w:sz w:val="22"/>
          <w:szCs w:val="22"/>
        </w:rPr>
        <w:t>_</w:t>
      </w:r>
      <w:r w:rsidR="00A9751E" w:rsidRPr="00FA1520">
        <w:rPr>
          <w:sz w:val="22"/>
          <w:szCs w:val="22"/>
        </w:rPr>
        <w:t>$</w:t>
      </w:r>
      <w:r w:rsidR="006C7173" w:rsidRPr="00FA1520">
        <w:rPr>
          <w:sz w:val="22"/>
          <w:szCs w:val="22"/>
        </w:rPr>
        <w:t>1,500</w:t>
      </w:r>
      <w:r w:rsidR="00A9751E" w:rsidRPr="00FA1520">
        <w:rPr>
          <w:sz w:val="22"/>
          <w:szCs w:val="22"/>
        </w:rPr>
        <w:t>.00</w:t>
      </w:r>
      <w:r w:rsidRPr="00FA1520">
        <w:rPr>
          <w:sz w:val="22"/>
          <w:szCs w:val="22"/>
        </w:rPr>
        <w:t>_____________</w:t>
      </w:r>
    </w:p>
    <w:p w14:paraId="4C63B8B3" w14:textId="77777777" w:rsidR="00F50CCE" w:rsidRDefault="00F50CCE" w:rsidP="00F2160A">
      <w:pPr>
        <w:pStyle w:val="Default"/>
        <w:rPr>
          <w:b/>
          <w:sz w:val="28"/>
          <w:szCs w:val="23"/>
        </w:rPr>
      </w:pPr>
    </w:p>
    <w:p w14:paraId="01C5AB48" w14:textId="77777777" w:rsidR="00592F3B" w:rsidRDefault="00592F3B" w:rsidP="00A72AB9">
      <w:pPr>
        <w:rPr>
          <w:rFonts w:ascii="Calibri" w:hAnsi="Calibri" w:cs="Calibri"/>
          <w:b/>
          <w:color w:val="000000"/>
          <w:sz w:val="24"/>
          <w:szCs w:val="24"/>
        </w:rPr>
      </w:pPr>
    </w:p>
    <w:p w14:paraId="079ED2CE" w14:textId="1734F081" w:rsidR="00A72AB9" w:rsidRDefault="00A72AB9" w:rsidP="00A72AB9">
      <w:pPr>
        <w:rPr>
          <w:b/>
          <w:bCs/>
        </w:rPr>
      </w:pPr>
      <w:r w:rsidRPr="00C62AD9">
        <w:rPr>
          <w:rFonts w:ascii="Calibri" w:hAnsi="Calibri" w:cs="Calibri"/>
          <w:b/>
          <w:color w:val="000000"/>
          <w:sz w:val="24"/>
          <w:szCs w:val="24"/>
        </w:rPr>
        <w:t xml:space="preserve">TOTAL AMOUNT OF </w:t>
      </w:r>
      <w:r w:rsidR="008F09C7">
        <w:rPr>
          <w:rFonts w:ascii="Calibri" w:hAnsi="Calibri" w:cs="Calibri"/>
          <w:b/>
          <w:color w:val="000000"/>
          <w:sz w:val="24"/>
          <w:szCs w:val="24"/>
        </w:rPr>
        <w:t xml:space="preserve">ESRP MONITORING </w:t>
      </w:r>
      <w:r w:rsidRPr="00C62AD9">
        <w:rPr>
          <w:rFonts w:ascii="Calibri" w:hAnsi="Calibri" w:cs="Calibri"/>
          <w:b/>
          <w:color w:val="000000"/>
          <w:sz w:val="24"/>
          <w:szCs w:val="24"/>
        </w:rPr>
        <w:t>AWARD:</w:t>
      </w:r>
      <w:r>
        <w:rPr>
          <w:rFonts w:ascii="Calibri" w:hAnsi="Calibri" w:cs="Calibri"/>
          <w:color w:val="000000"/>
          <w:sz w:val="23"/>
          <w:szCs w:val="23"/>
        </w:rPr>
        <w:t xml:space="preserve">  </w:t>
      </w:r>
      <w:r w:rsidRPr="00FA1520">
        <w:rPr>
          <w:b/>
          <w:bCs/>
          <w:sz w:val="24"/>
          <w:szCs w:val="24"/>
        </w:rPr>
        <w:t>$</w:t>
      </w:r>
      <w:r w:rsidR="00003A3C" w:rsidRPr="00FA1520">
        <w:rPr>
          <w:b/>
          <w:bCs/>
          <w:sz w:val="24"/>
          <w:szCs w:val="24"/>
        </w:rPr>
        <w:t>3,250</w:t>
      </w:r>
    </w:p>
    <w:p w14:paraId="1FA69BED" w14:textId="1837042A" w:rsidR="00AF7F7E" w:rsidRDefault="00AF7F7E" w:rsidP="00AF7F7E">
      <w:pPr>
        <w:spacing w:after="0"/>
        <w:rPr>
          <w:rFonts w:ascii="Calibri" w:hAnsi="Calibri" w:cs="Calibri"/>
          <w:color w:val="000000"/>
          <w:szCs w:val="23"/>
        </w:rPr>
      </w:pPr>
    </w:p>
    <w:p w14:paraId="55B8902A" w14:textId="179C0802" w:rsidR="005239AD" w:rsidRDefault="00AF7F7E">
      <w:pPr>
        <w:rPr>
          <w:b/>
          <w:sz w:val="28"/>
        </w:rPr>
      </w:pPr>
      <w:r w:rsidRPr="00021F9B">
        <w:rPr>
          <w:b/>
          <w:sz w:val="28"/>
        </w:rPr>
        <w:t xml:space="preserve">Work on this project must </w:t>
      </w:r>
      <w:r w:rsidR="009F4530">
        <w:rPr>
          <w:b/>
          <w:sz w:val="28"/>
        </w:rPr>
        <w:t xml:space="preserve">be completed by </w:t>
      </w:r>
      <w:r w:rsidR="009D3F71" w:rsidRPr="00C1761E">
        <w:rPr>
          <w:b/>
          <w:sz w:val="28"/>
        </w:rPr>
        <w:t>__</w:t>
      </w:r>
      <w:r w:rsidR="005821D8" w:rsidRPr="00C1761E">
        <w:rPr>
          <w:b/>
          <w:sz w:val="28"/>
        </w:rPr>
        <w:t>June 30, 2021</w:t>
      </w:r>
      <w:r w:rsidR="009D3F71" w:rsidRPr="00C1761E">
        <w:rPr>
          <w:b/>
          <w:sz w:val="28"/>
        </w:rPr>
        <w:t>__________</w:t>
      </w:r>
    </w:p>
    <w:p w14:paraId="38F7074B" w14:textId="77DF95CB" w:rsidR="000A5BDF" w:rsidRDefault="000A5BDF">
      <w:pPr>
        <w:rPr>
          <w:b/>
          <w:sz w:val="28"/>
        </w:rPr>
      </w:pPr>
    </w:p>
    <w:sectPr w:rsidR="000A5BDF" w:rsidSect="00A2371B">
      <w:pgSz w:w="12240" w:h="15840"/>
      <w:pgMar w:top="1152" w:right="1296" w:bottom="720" w:left="1296"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A3A071" w16cid:durableId="21069066"/>
  <w16cid:commentId w16cid:paraId="0AAF5A83" w16cid:durableId="2106981E"/>
  <w16cid:commentId w16cid:paraId="2CBCEF5D" w16cid:durableId="21091E0B"/>
  <w16cid:commentId w16cid:paraId="67DEBF57" w16cid:durableId="2106982D"/>
  <w16cid:commentId w16cid:paraId="384A915C" w16cid:durableId="21091E0D"/>
  <w16cid:commentId w16cid:paraId="114A4313" w16cid:durableId="21068F0E"/>
  <w16cid:commentId w16cid:paraId="6BD2F0AA" w16cid:durableId="21091E0F"/>
  <w16cid:commentId w16cid:paraId="6B020CC5" w16cid:durableId="21091E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4FA75" w14:textId="77777777" w:rsidR="00B33372" w:rsidRDefault="00B33372">
      <w:pPr>
        <w:spacing w:after="0" w:line="240" w:lineRule="auto"/>
      </w:pPr>
      <w:r>
        <w:separator/>
      </w:r>
    </w:p>
  </w:endnote>
  <w:endnote w:type="continuationSeparator" w:id="0">
    <w:p w14:paraId="0308661B" w14:textId="77777777" w:rsidR="00B33372" w:rsidRDefault="00B33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DD4AA" w14:textId="77777777" w:rsidR="00B33372" w:rsidRDefault="00B33372">
      <w:pPr>
        <w:spacing w:after="0" w:line="240" w:lineRule="auto"/>
      </w:pPr>
      <w:r>
        <w:separator/>
      </w:r>
    </w:p>
  </w:footnote>
  <w:footnote w:type="continuationSeparator" w:id="0">
    <w:p w14:paraId="5D661B16" w14:textId="77777777" w:rsidR="00B33372" w:rsidRDefault="00B33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B8C"/>
    <w:multiLevelType w:val="hybridMultilevel"/>
    <w:tmpl w:val="683675CC"/>
    <w:lvl w:ilvl="0" w:tplc="DB26DB5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34815"/>
    <w:multiLevelType w:val="hybridMultilevel"/>
    <w:tmpl w:val="978C56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90F87"/>
    <w:multiLevelType w:val="hybridMultilevel"/>
    <w:tmpl w:val="7DC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164A0"/>
    <w:multiLevelType w:val="hybridMultilevel"/>
    <w:tmpl w:val="111EF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B60BD"/>
    <w:multiLevelType w:val="hybridMultilevel"/>
    <w:tmpl w:val="978C56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367D6"/>
    <w:multiLevelType w:val="hybridMultilevel"/>
    <w:tmpl w:val="598E2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626A2C"/>
    <w:multiLevelType w:val="hybridMultilevel"/>
    <w:tmpl w:val="978C56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0B3406"/>
    <w:multiLevelType w:val="hybridMultilevel"/>
    <w:tmpl w:val="170C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74223"/>
    <w:multiLevelType w:val="hybridMultilevel"/>
    <w:tmpl w:val="DA90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650798"/>
    <w:multiLevelType w:val="hybridMultilevel"/>
    <w:tmpl w:val="DF60E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C34EA"/>
    <w:multiLevelType w:val="hybridMultilevel"/>
    <w:tmpl w:val="978C56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4"/>
  </w:num>
  <w:num w:numId="5">
    <w:abstractNumId w:val="6"/>
  </w:num>
  <w:num w:numId="6">
    <w:abstractNumId w:val="1"/>
  </w:num>
  <w:num w:numId="7">
    <w:abstractNumId w:val="10"/>
  </w:num>
  <w:num w:numId="8">
    <w:abstractNumId w:val="8"/>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7E"/>
    <w:rsid w:val="00003A3C"/>
    <w:rsid w:val="00005326"/>
    <w:rsid w:val="00010350"/>
    <w:rsid w:val="00010C8C"/>
    <w:rsid w:val="00024EFD"/>
    <w:rsid w:val="0003502D"/>
    <w:rsid w:val="000565BA"/>
    <w:rsid w:val="00067C85"/>
    <w:rsid w:val="000760F8"/>
    <w:rsid w:val="000821DF"/>
    <w:rsid w:val="000838B8"/>
    <w:rsid w:val="00083EC3"/>
    <w:rsid w:val="000A1EE1"/>
    <w:rsid w:val="000A5BDF"/>
    <w:rsid w:val="000B3D5A"/>
    <w:rsid w:val="000F5A2D"/>
    <w:rsid w:val="0011187F"/>
    <w:rsid w:val="00126D67"/>
    <w:rsid w:val="00132CD3"/>
    <w:rsid w:val="00141B13"/>
    <w:rsid w:val="001661C8"/>
    <w:rsid w:val="00166806"/>
    <w:rsid w:val="001755A0"/>
    <w:rsid w:val="0019418F"/>
    <w:rsid w:val="00196875"/>
    <w:rsid w:val="001A7B50"/>
    <w:rsid w:val="001B0F55"/>
    <w:rsid w:val="001C3620"/>
    <w:rsid w:val="001D62C3"/>
    <w:rsid w:val="001E1EAB"/>
    <w:rsid w:val="001E377B"/>
    <w:rsid w:val="00207129"/>
    <w:rsid w:val="0021069A"/>
    <w:rsid w:val="00212A70"/>
    <w:rsid w:val="002131C3"/>
    <w:rsid w:val="00225250"/>
    <w:rsid w:val="0024283C"/>
    <w:rsid w:val="0024541C"/>
    <w:rsid w:val="00285BEF"/>
    <w:rsid w:val="002909CE"/>
    <w:rsid w:val="002A7406"/>
    <w:rsid w:val="002D3BA3"/>
    <w:rsid w:val="00304A0C"/>
    <w:rsid w:val="00305FC9"/>
    <w:rsid w:val="003237CC"/>
    <w:rsid w:val="00374F00"/>
    <w:rsid w:val="00393D6A"/>
    <w:rsid w:val="003A3D86"/>
    <w:rsid w:val="003C4508"/>
    <w:rsid w:val="003F7F12"/>
    <w:rsid w:val="0042611A"/>
    <w:rsid w:val="00426E80"/>
    <w:rsid w:val="00447290"/>
    <w:rsid w:val="00450CF6"/>
    <w:rsid w:val="00453BE0"/>
    <w:rsid w:val="00463B4C"/>
    <w:rsid w:val="00487F59"/>
    <w:rsid w:val="004D1015"/>
    <w:rsid w:val="004F06E7"/>
    <w:rsid w:val="00512D5B"/>
    <w:rsid w:val="00521065"/>
    <w:rsid w:val="005239AD"/>
    <w:rsid w:val="005244D0"/>
    <w:rsid w:val="005821D8"/>
    <w:rsid w:val="00592F3B"/>
    <w:rsid w:val="0059410B"/>
    <w:rsid w:val="00595D89"/>
    <w:rsid w:val="005B0D41"/>
    <w:rsid w:val="005F7A13"/>
    <w:rsid w:val="0060219A"/>
    <w:rsid w:val="0066722D"/>
    <w:rsid w:val="00686601"/>
    <w:rsid w:val="006A3D13"/>
    <w:rsid w:val="006C7173"/>
    <w:rsid w:val="006D22A7"/>
    <w:rsid w:val="006F4302"/>
    <w:rsid w:val="0070645F"/>
    <w:rsid w:val="00747594"/>
    <w:rsid w:val="0076367E"/>
    <w:rsid w:val="0078040F"/>
    <w:rsid w:val="00790721"/>
    <w:rsid w:val="007A02EA"/>
    <w:rsid w:val="007B1D8B"/>
    <w:rsid w:val="007C4F2C"/>
    <w:rsid w:val="007C679E"/>
    <w:rsid w:val="007D638C"/>
    <w:rsid w:val="007E4943"/>
    <w:rsid w:val="008227A4"/>
    <w:rsid w:val="008337C2"/>
    <w:rsid w:val="008354DE"/>
    <w:rsid w:val="00855381"/>
    <w:rsid w:val="00883DFB"/>
    <w:rsid w:val="00894AD8"/>
    <w:rsid w:val="008A31E3"/>
    <w:rsid w:val="008C2F33"/>
    <w:rsid w:val="008D147E"/>
    <w:rsid w:val="008E234A"/>
    <w:rsid w:val="008F09C7"/>
    <w:rsid w:val="00915D6E"/>
    <w:rsid w:val="0096366C"/>
    <w:rsid w:val="00974F52"/>
    <w:rsid w:val="00981A23"/>
    <w:rsid w:val="00995651"/>
    <w:rsid w:val="009D3F71"/>
    <w:rsid w:val="009F4530"/>
    <w:rsid w:val="00A2371B"/>
    <w:rsid w:val="00A31BBD"/>
    <w:rsid w:val="00A72AB9"/>
    <w:rsid w:val="00A94434"/>
    <w:rsid w:val="00A9751E"/>
    <w:rsid w:val="00AA4105"/>
    <w:rsid w:val="00AB6A1F"/>
    <w:rsid w:val="00AC7230"/>
    <w:rsid w:val="00AD4804"/>
    <w:rsid w:val="00AD4FF1"/>
    <w:rsid w:val="00AF17FF"/>
    <w:rsid w:val="00AF7F7E"/>
    <w:rsid w:val="00B24A00"/>
    <w:rsid w:val="00B33372"/>
    <w:rsid w:val="00B33BEB"/>
    <w:rsid w:val="00B35572"/>
    <w:rsid w:val="00B651A9"/>
    <w:rsid w:val="00B813EE"/>
    <w:rsid w:val="00BA5C47"/>
    <w:rsid w:val="00BE1DA9"/>
    <w:rsid w:val="00BF169A"/>
    <w:rsid w:val="00C04246"/>
    <w:rsid w:val="00C12AB9"/>
    <w:rsid w:val="00C1761E"/>
    <w:rsid w:val="00C20052"/>
    <w:rsid w:val="00C260BC"/>
    <w:rsid w:val="00C34DA3"/>
    <w:rsid w:val="00C373C8"/>
    <w:rsid w:val="00C55E85"/>
    <w:rsid w:val="00C638DC"/>
    <w:rsid w:val="00C80739"/>
    <w:rsid w:val="00C969C9"/>
    <w:rsid w:val="00CA5565"/>
    <w:rsid w:val="00CB33A0"/>
    <w:rsid w:val="00CB6073"/>
    <w:rsid w:val="00CB7263"/>
    <w:rsid w:val="00CC3910"/>
    <w:rsid w:val="00CC446B"/>
    <w:rsid w:val="00CC7035"/>
    <w:rsid w:val="00CE05C4"/>
    <w:rsid w:val="00CF19F8"/>
    <w:rsid w:val="00CF3FED"/>
    <w:rsid w:val="00D42CAD"/>
    <w:rsid w:val="00D478F5"/>
    <w:rsid w:val="00D525D1"/>
    <w:rsid w:val="00D53347"/>
    <w:rsid w:val="00D81C84"/>
    <w:rsid w:val="00D841F0"/>
    <w:rsid w:val="00D85290"/>
    <w:rsid w:val="00D9053E"/>
    <w:rsid w:val="00DA35F2"/>
    <w:rsid w:val="00DA7A72"/>
    <w:rsid w:val="00DC421C"/>
    <w:rsid w:val="00DF1E3E"/>
    <w:rsid w:val="00E11E1E"/>
    <w:rsid w:val="00E31668"/>
    <w:rsid w:val="00E322B3"/>
    <w:rsid w:val="00E37838"/>
    <w:rsid w:val="00E6102D"/>
    <w:rsid w:val="00E7158B"/>
    <w:rsid w:val="00EA2F63"/>
    <w:rsid w:val="00EB0B60"/>
    <w:rsid w:val="00ED0EC4"/>
    <w:rsid w:val="00EE0456"/>
    <w:rsid w:val="00F2160A"/>
    <w:rsid w:val="00F50CCE"/>
    <w:rsid w:val="00F62E21"/>
    <w:rsid w:val="00F71C4B"/>
    <w:rsid w:val="00F87B9A"/>
    <w:rsid w:val="00FA1520"/>
    <w:rsid w:val="00FA6A66"/>
    <w:rsid w:val="00FB02C0"/>
    <w:rsid w:val="00FC3932"/>
    <w:rsid w:val="00FE37C3"/>
    <w:rsid w:val="00FE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7E7B"/>
  <w15:docId w15:val="{901E75B4-4C69-4133-8D00-0F4FCB34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7F7E"/>
    <w:pPr>
      <w:spacing w:after="0" w:line="240" w:lineRule="auto"/>
    </w:pPr>
  </w:style>
  <w:style w:type="paragraph" w:customStyle="1" w:styleId="Default">
    <w:name w:val="Default"/>
    <w:rsid w:val="00AF7F7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AF7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F7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F7E"/>
  </w:style>
  <w:style w:type="paragraph" w:styleId="ListParagraph">
    <w:name w:val="List Paragraph"/>
    <w:basedOn w:val="Normal"/>
    <w:uiPriority w:val="34"/>
    <w:qFormat/>
    <w:rsid w:val="00AF7F7E"/>
    <w:pPr>
      <w:spacing w:after="0" w:line="240" w:lineRule="auto"/>
      <w:ind w:left="720"/>
    </w:pPr>
    <w:rPr>
      <w:rFonts w:ascii="Calibri" w:hAnsi="Calibri" w:cs="Times New Roman"/>
    </w:rPr>
  </w:style>
  <w:style w:type="paragraph" w:styleId="Header">
    <w:name w:val="header"/>
    <w:basedOn w:val="Normal"/>
    <w:link w:val="HeaderChar"/>
    <w:uiPriority w:val="99"/>
    <w:unhideWhenUsed/>
    <w:rsid w:val="000F5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A2D"/>
  </w:style>
  <w:style w:type="paragraph" w:styleId="BalloonText">
    <w:name w:val="Balloon Text"/>
    <w:basedOn w:val="Normal"/>
    <w:link w:val="BalloonTextChar"/>
    <w:uiPriority w:val="99"/>
    <w:semiHidden/>
    <w:unhideWhenUsed/>
    <w:rsid w:val="00C63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8DC"/>
    <w:rPr>
      <w:rFonts w:ascii="Segoe UI" w:hAnsi="Segoe UI" w:cs="Segoe UI"/>
      <w:sz w:val="18"/>
      <w:szCs w:val="18"/>
    </w:rPr>
  </w:style>
  <w:style w:type="table" w:customStyle="1" w:styleId="TableGrid1">
    <w:name w:val="Table Grid1"/>
    <w:basedOn w:val="TableNormal"/>
    <w:next w:val="TableGrid"/>
    <w:uiPriority w:val="59"/>
    <w:rsid w:val="00D42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2CD3"/>
    <w:rPr>
      <w:sz w:val="16"/>
      <w:szCs w:val="16"/>
    </w:rPr>
  </w:style>
  <w:style w:type="paragraph" w:styleId="CommentText">
    <w:name w:val="annotation text"/>
    <w:basedOn w:val="Normal"/>
    <w:link w:val="CommentTextChar"/>
    <w:uiPriority w:val="99"/>
    <w:semiHidden/>
    <w:unhideWhenUsed/>
    <w:rsid w:val="00132CD3"/>
    <w:pPr>
      <w:spacing w:line="240" w:lineRule="auto"/>
    </w:pPr>
    <w:rPr>
      <w:sz w:val="20"/>
      <w:szCs w:val="20"/>
    </w:rPr>
  </w:style>
  <w:style w:type="character" w:customStyle="1" w:styleId="CommentTextChar">
    <w:name w:val="Comment Text Char"/>
    <w:basedOn w:val="DefaultParagraphFont"/>
    <w:link w:val="CommentText"/>
    <w:uiPriority w:val="99"/>
    <w:semiHidden/>
    <w:rsid w:val="00132CD3"/>
    <w:rPr>
      <w:sz w:val="20"/>
      <w:szCs w:val="20"/>
    </w:rPr>
  </w:style>
  <w:style w:type="paragraph" w:styleId="CommentSubject">
    <w:name w:val="annotation subject"/>
    <w:basedOn w:val="CommentText"/>
    <w:next w:val="CommentText"/>
    <w:link w:val="CommentSubjectChar"/>
    <w:uiPriority w:val="99"/>
    <w:semiHidden/>
    <w:unhideWhenUsed/>
    <w:rsid w:val="00132CD3"/>
    <w:rPr>
      <w:b/>
      <w:bCs/>
    </w:rPr>
  </w:style>
  <w:style w:type="character" w:customStyle="1" w:styleId="CommentSubjectChar">
    <w:name w:val="Comment Subject Char"/>
    <w:basedOn w:val="CommentTextChar"/>
    <w:link w:val="CommentSubject"/>
    <w:uiPriority w:val="99"/>
    <w:semiHidden/>
    <w:rsid w:val="00132C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90468">
      <w:bodyDiv w:val="1"/>
      <w:marLeft w:val="0"/>
      <w:marRight w:val="0"/>
      <w:marTop w:val="0"/>
      <w:marBottom w:val="0"/>
      <w:divBdr>
        <w:top w:val="none" w:sz="0" w:space="0" w:color="auto"/>
        <w:left w:val="none" w:sz="0" w:space="0" w:color="auto"/>
        <w:bottom w:val="none" w:sz="0" w:space="0" w:color="auto"/>
        <w:right w:val="none" w:sz="0" w:space="0" w:color="auto"/>
      </w:divBdr>
    </w:div>
    <w:div w:id="847673946">
      <w:bodyDiv w:val="1"/>
      <w:marLeft w:val="0"/>
      <w:marRight w:val="0"/>
      <w:marTop w:val="0"/>
      <w:marBottom w:val="0"/>
      <w:divBdr>
        <w:top w:val="none" w:sz="0" w:space="0" w:color="auto"/>
        <w:left w:val="none" w:sz="0" w:space="0" w:color="auto"/>
        <w:bottom w:val="none" w:sz="0" w:space="0" w:color="auto"/>
        <w:right w:val="none" w:sz="0" w:space="0" w:color="auto"/>
      </w:divBdr>
    </w:div>
    <w:div w:id="899748984">
      <w:bodyDiv w:val="1"/>
      <w:marLeft w:val="0"/>
      <w:marRight w:val="0"/>
      <w:marTop w:val="0"/>
      <w:marBottom w:val="0"/>
      <w:divBdr>
        <w:top w:val="none" w:sz="0" w:space="0" w:color="auto"/>
        <w:left w:val="none" w:sz="0" w:space="0" w:color="auto"/>
        <w:bottom w:val="none" w:sz="0" w:space="0" w:color="auto"/>
        <w:right w:val="none" w:sz="0" w:space="0" w:color="auto"/>
      </w:divBdr>
    </w:div>
    <w:div w:id="1320498799">
      <w:bodyDiv w:val="1"/>
      <w:marLeft w:val="0"/>
      <w:marRight w:val="0"/>
      <w:marTop w:val="0"/>
      <w:marBottom w:val="0"/>
      <w:divBdr>
        <w:top w:val="none" w:sz="0" w:space="0" w:color="auto"/>
        <w:left w:val="none" w:sz="0" w:space="0" w:color="auto"/>
        <w:bottom w:val="none" w:sz="0" w:space="0" w:color="auto"/>
        <w:right w:val="none" w:sz="0" w:space="0" w:color="auto"/>
      </w:divBdr>
      <w:divsChild>
        <w:div w:id="309287050">
          <w:marLeft w:val="0"/>
          <w:marRight w:val="0"/>
          <w:marTop w:val="30"/>
          <w:marBottom w:val="0"/>
          <w:divBdr>
            <w:top w:val="none" w:sz="0" w:space="0" w:color="auto"/>
            <w:left w:val="none" w:sz="0" w:space="0" w:color="auto"/>
            <w:bottom w:val="none" w:sz="0" w:space="0" w:color="auto"/>
            <w:right w:val="none" w:sz="0" w:space="0" w:color="auto"/>
          </w:divBdr>
          <w:divsChild>
            <w:div w:id="127154852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645D010DA3041BA38AEC6E7D34CDA" ma:contentTypeVersion="15" ma:contentTypeDescription="Create a new document." ma:contentTypeScope="" ma:versionID="d33dbbcb45dc9336e0ba3665c3b1e756">
  <xsd:schema xmlns:xsd="http://www.w3.org/2001/XMLSchema" xmlns:xs="http://www.w3.org/2001/XMLSchema" xmlns:p="http://schemas.microsoft.com/office/2006/metadata/properties" xmlns:ns1="http://schemas.microsoft.com/sharepoint/v3" xmlns:ns2="6c63f6a9-d543-4b83-b38f-fc36654c69ce" xmlns:ns3="http://schemas.microsoft.com/sharepoint/v3/fields" xmlns:ns4="9c4ac1b9-05d5-478f-98a0-89b14c577d2e" targetNamespace="http://schemas.microsoft.com/office/2006/metadata/properties" ma:root="true" ma:fieldsID="6689748afe41374ddbf07bf7fd50865a" ns1:_="" ns2:_="" ns3:_="" ns4:_="">
    <xsd:import namespace="http://schemas.microsoft.com/sharepoint/v3"/>
    <xsd:import namespace="6c63f6a9-d543-4b83-b38f-fc36654c69ce"/>
    <xsd:import namespace="http://schemas.microsoft.com/sharepoint/v3/fields"/>
    <xsd:import namespace="9c4ac1b9-05d5-478f-98a0-89b14c577d2e"/>
    <xsd:element name="properties">
      <xsd:complexType>
        <xsd:sequence>
          <xsd:element name="documentManagement">
            <xsd:complexType>
              <xsd:all>
                <xsd:element ref="ns2:SharedWithUsers" minOccurs="0"/>
                <xsd:element ref="ns2:SharedWithDetails" minOccurs="0"/>
                <xsd:element ref="ns3:_DCDateCreated" minOccurs="0"/>
                <xsd:element ref="ns3:_DCDateModified" minOccurs="0"/>
                <xsd:element ref="ns1:ReportOwner"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12"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63f6a9-d543-4b83-b38f-fc36654c69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element name="_DCDateModified" ma:index="11" nillable="true" ma:displayName="Date Modified" ma:description="The date on which this resource was last modified"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4ac1b9-05d5-478f-98a0-89b14c577d2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ReportOwner xmlns="http://schemas.microsoft.com/sharepoint/v3">
      <UserInfo>
        <DisplayName/>
        <AccountId xsi:nil="true"/>
        <AccountType/>
      </UserInfo>
    </ReportOwner>
    <_DCDateCreated xmlns="http://schemas.microsoft.com/sharepoint/v3/fields" xsi:nil="true"/>
  </documentManagement>
</p:properties>
</file>

<file path=customXml/itemProps1.xml><?xml version="1.0" encoding="utf-8"?>
<ds:datastoreItem xmlns:ds="http://schemas.openxmlformats.org/officeDocument/2006/customXml" ds:itemID="{27F22715-154D-402E-9337-F03B291D1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63f6a9-d543-4b83-b38f-fc36654c69ce"/>
    <ds:schemaRef ds:uri="http://schemas.microsoft.com/sharepoint/v3/fields"/>
    <ds:schemaRef ds:uri="9c4ac1b9-05d5-478f-98a0-89b14c577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64A5E-9043-42BE-96C6-A071101EA99F}">
  <ds:schemaRefs>
    <ds:schemaRef ds:uri="http://schemas.microsoft.com/sharepoint/v3/contenttype/forms"/>
  </ds:schemaRefs>
</ds:datastoreItem>
</file>

<file path=customXml/itemProps3.xml><?xml version="1.0" encoding="utf-8"?>
<ds:datastoreItem xmlns:ds="http://schemas.openxmlformats.org/officeDocument/2006/customXml" ds:itemID="{A4D27646-111A-47C9-956F-09B0577E6B2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9c4ac1b9-05d5-478f-98a0-89b14c577d2e"/>
    <ds:schemaRef ds:uri="http://schemas.microsoft.com/sharepoint/v3/fields"/>
    <ds:schemaRef ds:uri="6c63f6a9-d543-4b83-b38f-fc36654c69c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941</Words>
  <Characters>5369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Hunter, Maria L (DFW)</dc:creator>
  <cp:lastModifiedBy>Caromile, Kay (RCO)</cp:lastModifiedBy>
  <cp:revision>2</cp:revision>
  <cp:lastPrinted>2018-03-15T22:07:00Z</cp:lastPrinted>
  <dcterms:created xsi:type="dcterms:W3CDTF">2019-08-30T19:17:00Z</dcterms:created>
  <dcterms:modified xsi:type="dcterms:W3CDTF">2019-08-30T19:17:00Z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0x0101001DE645D010DA3041BA38AEC6E7D34CDA</vt:lpwstr>
  </property>
</Properties>
</file>