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D50" w:rsidRDefault="009D3D50">
      <w:pPr>
        <w:pStyle w:val="BodyText"/>
        <w:spacing w:before="8"/>
        <w:rPr>
          <w:rFonts w:ascii="Times New Roman"/>
          <w:sz w:val="28"/>
        </w:rPr>
      </w:pPr>
    </w:p>
    <w:p w:rsidR="009D3D50" w:rsidRDefault="00A23B73">
      <w:pPr>
        <w:pStyle w:val="Heading1"/>
        <w:spacing w:before="44"/>
        <w:ind w:right="298"/>
      </w:pPr>
      <w:r>
        <w:t>State of Washington</w:t>
      </w:r>
    </w:p>
    <w:p w:rsidR="009E23A2" w:rsidRDefault="00A23B73" w:rsidP="009E23A2">
      <w:pPr>
        <w:spacing w:before="188" w:line="369" w:lineRule="auto"/>
        <w:ind w:left="302" w:right="302"/>
        <w:jc w:val="center"/>
        <w:rPr>
          <w:b/>
          <w:sz w:val="28"/>
        </w:rPr>
      </w:pPr>
      <w:r>
        <w:rPr>
          <w:b/>
          <w:sz w:val="28"/>
        </w:rPr>
        <w:t xml:space="preserve">Recreation and Conservation Office / Governor’s Salmon Recovery Office </w:t>
      </w:r>
    </w:p>
    <w:p w:rsidR="009E23A2" w:rsidRPr="009E23A2" w:rsidRDefault="009E23A2" w:rsidP="009E23A2">
      <w:pPr>
        <w:spacing w:before="188" w:line="369" w:lineRule="auto"/>
        <w:ind w:left="302" w:right="302"/>
        <w:jc w:val="center"/>
        <w:rPr>
          <w:b/>
          <w:sz w:val="28"/>
        </w:rPr>
      </w:pPr>
      <w:r w:rsidRPr="009E23A2">
        <w:rPr>
          <w:b/>
          <w:i/>
          <w:sz w:val="28"/>
        </w:rPr>
        <w:t xml:space="preserve">PSMFC allocation of $291,000 </w:t>
      </w:r>
      <w:r w:rsidRPr="009E23A2">
        <w:rPr>
          <w:b/>
          <w:i/>
          <w:sz w:val="28"/>
        </w:rPr>
        <w:t xml:space="preserve">to Washington </w:t>
      </w:r>
      <w:r>
        <w:rPr>
          <w:b/>
          <w:i/>
          <w:sz w:val="28"/>
        </w:rPr>
        <w:t xml:space="preserve">State                                                           </w:t>
      </w:r>
      <w:r w:rsidRPr="009E23A2">
        <w:rPr>
          <w:b/>
          <w:i/>
          <w:sz w:val="28"/>
        </w:rPr>
        <w:t>for tasks/ deliverables, July 1 2019 – June 30 2020</w:t>
      </w:r>
    </w:p>
    <w:p w:rsidR="009D3D50" w:rsidRDefault="00A23B73">
      <w:pPr>
        <w:spacing w:before="188" w:line="369" w:lineRule="auto"/>
        <w:ind w:left="302" w:right="302"/>
        <w:jc w:val="center"/>
        <w:rPr>
          <w:b/>
          <w:sz w:val="28"/>
        </w:rPr>
      </w:pPr>
      <w:r>
        <w:rPr>
          <w:b/>
          <w:sz w:val="28"/>
        </w:rPr>
        <w:t>Submission of the</w:t>
      </w:r>
    </w:p>
    <w:p w:rsidR="009D3D50" w:rsidRDefault="00A23B73" w:rsidP="009E23A2">
      <w:pPr>
        <w:spacing w:before="6" w:line="259" w:lineRule="auto"/>
        <w:ind w:left="302" w:right="299"/>
        <w:jc w:val="center"/>
        <w:rPr>
          <w:b/>
          <w:sz w:val="28"/>
        </w:rPr>
      </w:pPr>
      <w:r>
        <w:rPr>
          <w:b/>
          <w:sz w:val="28"/>
        </w:rPr>
        <w:t>Scope of Work for NOAA / PSMC –funded Intensively Monitored Watersheds, located in the Snake River Salmon Recovery Region – Asotin IMW Complex.</w:t>
      </w:r>
    </w:p>
    <w:p w:rsidR="009D3D50" w:rsidRDefault="009D3D50">
      <w:pPr>
        <w:pStyle w:val="BodyText"/>
        <w:spacing w:before="3"/>
        <w:rPr>
          <w:b/>
          <w:sz w:val="26"/>
        </w:rPr>
      </w:pPr>
    </w:p>
    <w:p w:rsidR="009D3D50" w:rsidRPr="006A33CB" w:rsidRDefault="00A23B73">
      <w:pPr>
        <w:ind w:left="320"/>
        <w:rPr>
          <w:b/>
          <w:sz w:val="24"/>
          <w:szCs w:val="24"/>
        </w:rPr>
      </w:pPr>
      <w:r w:rsidRPr="006A33CB">
        <w:rPr>
          <w:b/>
          <w:sz w:val="24"/>
          <w:szCs w:val="24"/>
          <w:u w:val="single"/>
        </w:rPr>
        <w:t>Introduction</w:t>
      </w:r>
    </w:p>
    <w:p w:rsidR="009D3D50" w:rsidRPr="006A33CB" w:rsidRDefault="009D3D50">
      <w:pPr>
        <w:pStyle w:val="BodyText"/>
        <w:spacing w:before="1"/>
        <w:rPr>
          <w:b/>
          <w:sz w:val="22"/>
          <w:szCs w:val="22"/>
        </w:rPr>
      </w:pPr>
      <w:bookmarkStart w:id="0" w:name="_GoBack"/>
      <w:bookmarkEnd w:id="0"/>
    </w:p>
    <w:p w:rsidR="009D3D50" w:rsidRPr="006A33CB" w:rsidRDefault="00A23B73">
      <w:pPr>
        <w:spacing w:before="56" w:line="259" w:lineRule="auto"/>
        <w:ind w:left="320" w:right="408"/>
      </w:pPr>
      <w:r w:rsidRPr="006A33CB">
        <w:t>The Pacific States Marine Fisheries Commission (PSMFC) has provided sorely needed on-going monitoring support for two (2) intensively monitored watershed comple</w:t>
      </w:r>
      <w:r w:rsidRPr="006A33CB">
        <w:t>xes (IMWs) in Washington State, located in the Lower Columbia and Snake River salmon recovery regions. Through the auspices of the Recreation and Conservation Office (RCO), and with administrative oversight provided by the</w:t>
      </w:r>
    </w:p>
    <w:p w:rsidR="009D3D50" w:rsidRPr="006A33CB" w:rsidRDefault="00A23B73">
      <w:pPr>
        <w:spacing w:line="259" w:lineRule="auto"/>
        <w:ind w:left="320" w:right="498"/>
      </w:pPr>
      <w:r w:rsidRPr="006A33CB">
        <w:t>Governor’s Salmon Recovery Office</w:t>
      </w:r>
      <w:r w:rsidRPr="006A33CB">
        <w:t xml:space="preserve"> (GSRO), this critical support has been leveraged by the Salmon Recovery Funding Board (SRFB), among others, to answer certain resource questions regarding habitat treatments associated with salmonid abundance and productivity, and localized limiting facto</w:t>
      </w:r>
      <w:r w:rsidRPr="006A33CB">
        <w:t>rs that have been identified in these IMWs</w:t>
      </w:r>
      <w:r w:rsidR="009E23A2" w:rsidRPr="006A33CB">
        <w:t>. Monitoring these IMWs facilitates validation of the treatments.</w:t>
      </w:r>
    </w:p>
    <w:p w:rsidR="009D3D50" w:rsidRPr="006A33CB" w:rsidRDefault="00A23B73">
      <w:pPr>
        <w:spacing w:before="159" w:line="259" w:lineRule="auto"/>
        <w:ind w:left="320" w:right="397"/>
      </w:pPr>
      <w:r w:rsidRPr="006A33CB">
        <w:t xml:space="preserve">Great strides have been made by the collaborative partnership of the Lower Columbia Fish Recovery Board (LCFRB), the Snake River Salmon Recovery Board, and their sub-contractors. The collaborative effort includes </w:t>
      </w:r>
      <w:r w:rsidRPr="006A33CB">
        <w:t xml:space="preserve">the aforementioned entities overseeing this program, along with the Washington Department of Ecology (WECY) and WA Fish and Wildlife (WDFW), among others. </w:t>
      </w:r>
    </w:p>
    <w:p w:rsidR="009D3D50" w:rsidRPr="006A33CB" w:rsidRDefault="00A23B73">
      <w:pPr>
        <w:spacing w:before="159" w:line="259" w:lineRule="auto"/>
        <w:ind w:left="320" w:right="479"/>
      </w:pPr>
      <w:r w:rsidRPr="006A33CB">
        <w:t>Due to the co-management relationship of fisheries resources between the WDFW and those Indian tribes with treat</w:t>
      </w:r>
      <w:r w:rsidR="009E23A2" w:rsidRPr="006A33CB">
        <w:t>y-protected resources in located within Washington’s salmon recovery regions, these collaborations</w:t>
      </w:r>
      <w:r w:rsidRPr="006A33CB">
        <w:t xml:space="preserve"> foster healthy alliances. These a</w:t>
      </w:r>
      <w:r w:rsidRPr="006A33CB">
        <w:t>lliances have engaged complementary partnerships with the Columbia River Inter- Tribal Fisheries Commission (CRITFC), and has led towards productive and pro-a</w:t>
      </w:r>
      <w:r w:rsidR="009E23A2" w:rsidRPr="006A33CB">
        <w:t>ctive initiatives in</w:t>
      </w:r>
      <w:r w:rsidRPr="006A33CB">
        <w:t xml:space="preserve"> the Pacific Northwest. These init</w:t>
      </w:r>
      <w:r w:rsidRPr="006A33CB">
        <w:t>iatives are in areas that support multiple life-histories of ESA-listed salmon stocks.</w:t>
      </w:r>
    </w:p>
    <w:p w:rsidR="009D3D50" w:rsidRPr="006A33CB" w:rsidRDefault="00A23B73" w:rsidP="009E23A2">
      <w:pPr>
        <w:spacing w:before="178" w:line="259" w:lineRule="auto"/>
        <w:ind w:left="320" w:right="812"/>
      </w:pPr>
      <w:r w:rsidRPr="006A33CB">
        <w:t xml:space="preserve">The PSMFC support has provided the critical resources for additional monitoring, program analysis, recommendation development, as well as the </w:t>
      </w:r>
      <w:r w:rsidR="009E23A2" w:rsidRPr="006A33CB">
        <w:t xml:space="preserve">modifying or adaptively managing the </w:t>
      </w:r>
      <w:r w:rsidRPr="006A33CB">
        <w:t>restoration treatment plans and implementation.</w:t>
      </w:r>
      <w:r w:rsidR="009E23A2" w:rsidRPr="006A33CB">
        <w:t xml:space="preserve"> </w:t>
      </w:r>
      <w:r w:rsidRPr="006A33CB">
        <w:t>Leveraged support from the Washington SRFB has provided project fu</w:t>
      </w:r>
      <w:r w:rsidRPr="006A33CB">
        <w:t>nds from the Pacific Coastal Salmon Recovery F</w:t>
      </w:r>
      <w:r w:rsidR="00AE3FDC">
        <w:t xml:space="preserve">unds (NOAA-PCSRF) to </w:t>
      </w:r>
      <w:r w:rsidR="009E23A2" w:rsidRPr="006A33CB">
        <w:t>for</w:t>
      </w:r>
      <w:r w:rsidRPr="006A33CB">
        <w:t xml:space="preserve"> five (5) IMWs fr</w:t>
      </w:r>
      <w:r w:rsidR="00204631" w:rsidRPr="006A33CB">
        <w:t>om its annual PCSRF allocation to</w:t>
      </w:r>
      <w:r w:rsidRPr="006A33CB">
        <w:t xml:space="preserve"> Washington</w:t>
      </w:r>
      <w:r w:rsidR="00204631" w:rsidRPr="006A33CB">
        <w:t xml:space="preserve">. The distribution of these resources include </w:t>
      </w:r>
      <w:r w:rsidRPr="006A33CB">
        <w:t>the Asotin and Abernathy IMW complexes in the Snake Region and L</w:t>
      </w:r>
      <w:r w:rsidR="00204631" w:rsidRPr="006A33CB">
        <w:t>ower Columbia Region that also receive PSMFC funds.</w:t>
      </w:r>
    </w:p>
    <w:p w:rsidR="009D3D50" w:rsidRPr="006A33CB" w:rsidRDefault="009D3D50">
      <w:pPr>
        <w:spacing w:line="259" w:lineRule="auto"/>
        <w:sectPr w:rsidR="009D3D50" w:rsidRPr="006A33CB" w:rsidSect="00B211C8">
          <w:headerReference w:type="even" r:id="rId7"/>
          <w:headerReference w:type="default" r:id="rId8"/>
          <w:footerReference w:type="even" r:id="rId9"/>
          <w:footerReference w:type="default" r:id="rId10"/>
          <w:headerReference w:type="first" r:id="rId11"/>
          <w:footerReference w:type="first" r:id="rId12"/>
          <w:type w:val="continuous"/>
          <w:pgSz w:w="12240" w:h="15840"/>
          <w:pgMar w:top="1320" w:right="1120" w:bottom="1340" w:left="1120" w:header="775" w:footer="720" w:gutter="0"/>
          <w:pgNumType w:start="1"/>
          <w:cols w:space="720"/>
          <w:docGrid w:linePitch="299"/>
        </w:sectPr>
      </w:pPr>
    </w:p>
    <w:p w:rsidR="009D3D50" w:rsidRPr="006A33CB" w:rsidRDefault="00A23B73" w:rsidP="000E698E">
      <w:pPr>
        <w:spacing w:before="46" w:line="259" w:lineRule="auto"/>
        <w:ind w:left="320" w:right="806"/>
        <w:rPr>
          <w:b/>
          <w:sz w:val="24"/>
          <w:szCs w:val="24"/>
        </w:rPr>
      </w:pPr>
      <w:r w:rsidRPr="006A33CB">
        <w:lastRenderedPageBreak/>
        <w:t>It should also be noted the SR</w:t>
      </w:r>
      <w:r w:rsidR="00B211C8">
        <w:fldChar w:fldCharType="begin"/>
      </w:r>
      <w:r w:rsidR="00B211C8">
        <w:instrText xml:space="preserve"> DATE \@ "M/d/yyyy" </w:instrText>
      </w:r>
      <w:r w:rsidR="00B211C8">
        <w:fldChar w:fldCharType="separate"/>
      </w:r>
      <w:r w:rsidR="00B211C8">
        <w:rPr>
          <w:noProof/>
        </w:rPr>
        <w:t>4/30/2019</w:t>
      </w:r>
      <w:r w:rsidR="00B211C8">
        <w:fldChar w:fldCharType="end"/>
      </w:r>
      <w:r w:rsidR="00B211C8">
        <w:t>4/30/2019</w:t>
      </w:r>
      <w:r w:rsidRPr="006A33CB">
        <w:t>FB provided nearly $6 million over a three-year period specific to funding restoration treatments in IMWs. This was in response from regional requests due to the fact the IMWs were selected for their geomorphic and landscape c</w:t>
      </w:r>
      <w:r w:rsidRPr="006A33CB">
        <w:t>onditions, with optimal pairing with, and adjacent to, a proximal sub-basin as reference or control, and not necessarily due to ESA- listed salmon stocks in the area. Because of that fact, and that the “Washington Way” for salmon recovery has a localized p</w:t>
      </w:r>
      <w:r w:rsidRPr="006A33CB">
        <w:t xml:space="preserve">rocess for prioritizing habitat restoration projects, IMWs would not necessarily rank high for project implementation. This program ended in 2016, but it may be considered again in future years. It is one of a number of recommendations being brought forth </w:t>
      </w:r>
      <w:r w:rsidR="00204631" w:rsidRPr="006A33CB">
        <w:t xml:space="preserve">to SRFB via its Monitoring Panel, established in 2013. The SRFB waives </w:t>
      </w:r>
      <w:r w:rsidRPr="006A33CB">
        <w:t>“match” requirements as an added incentive for IMW project sponsors to implement restoration treatments.</w:t>
      </w:r>
    </w:p>
    <w:p w:rsidR="009D3D50" w:rsidRPr="006A33CB" w:rsidRDefault="009D3D50">
      <w:pPr>
        <w:pStyle w:val="BodyText"/>
        <w:spacing w:before="2"/>
        <w:rPr>
          <w:b/>
          <w:sz w:val="22"/>
          <w:szCs w:val="22"/>
        </w:rPr>
      </w:pPr>
    </w:p>
    <w:p w:rsidR="009D3D50" w:rsidRPr="006A33CB" w:rsidRDefault="00A23B73" w:rsidP="00204631">
      <w:pPr>
        <w:spacing w:before="56" w:line="259" w:lineRule="auto"/>
        <w:ind w:left="320" w:right="345"/>
      </w:pPr>
      <w:r w:rsidRPr="006A33CB">
        <w:t>The two state salmon recovery regions with PSMFC –supported IMWs in Washington- the Snake and the Lower Columbia regions-have fostered a relationship where the PSMFC-allocated</w:t>
      </w:r>
      <w:r w:rsidRPr="006A33CB">
        <w:t xml:space="preserve"> funds have been distributed following an equitable process following inter-regional discussions every year. This relationship has developed in such a way whereby each region has recognized an</w:t>
      </w:r>
      <w:r w:rsidR="00204631" w:rsidRPr="006A33CB">
        <w:t>d agreed upon the annual distribution of the PSMFC funds.</w:t>
      </w:r>
    </w:p>
    <w:p w:rsidR="00204631" w:rsidRPr="006A33CB" w:rsidRDefault="00A23B73" w:rsidP="00204631">
      <w:pPr>
        <w:spacing w:before="158" w:line="259" w:lineRule="auto"/>
        <w:ind w:left="320" w:right="522"/>
      </w:pPr>
      <w:r w:rsidRPr="006A33CB">
        <w:t>As in years past, the distribution is determined by the unique and individual processes, objectives, and goals of each region. For this new award proposal f</w:t>
      </w:r>
      <w:r w:rsidR="00204631" w:rsidRPr="006A33CB">
        <w:t xml:space="preserve">or </w:t>
      </w:r>
      <w:r w:rsidR="00204631" w:rsidRPr="006A33CB">
        <w:rPr>
          <w:b/>
        </w:rPr>
        <w:t>2019/2020</w:t>
      </w:r>
      <w:r w:rsidRPr="006A33CB">
        <w:rPr>
          <w:b/>
        </w:rPr>
        <w:t>,</w:t>
      </w:r>
      <w:r w:rsidRPr="006A33CB">
        <w:t xml:space="preserve"> the Lower Columbia Fish Recovery Board </w:t>
      </w:r>
      <w:r w:rsidR="00204631" w:rsidRPr="006A33CB">
        <w:t xml:space="preserve">(LCFRB) </w:t>
      </w:r>
      <w:r w:rsidRPr="006A33CB">
        <w:t>has reque</w:t>
      </w:r>
      <w:r w:rsidR="00204631" w:rsidRPr="006A33CB">
        <w:t>sted NO new funds for this year. Th</w:t>
      </w:r>
      <w:r w:rsidRPr="006A33CB">
        <w:t>e Snake River Salmon Recovery Re</w:t>
      </w:r>
      <w:r w:rsidR="00204631" w:rsidRPr="006A33CB">
        <w:t>gion’s Asotin IMW project,</w:t>
      </w:r>
      <w:r w:rsidRPr="006A33CB">
        <w:t xml:space="preserve"> will receive a majority of the $291,000 of the PSMFC alloc</w:t>
      </w:r>
      <w:r w:rsidRPr="006A33CB">
        <w:t>ation to Washington St</w:t>
      </w:r>
      <w:r w:rsidR="00204631" w:rsidRPr="006A33CB">
        <w:t>ate, totaling approximately $245</w:t>
      </w:r>
      <w:r w:rsidRPr="006A33CB">
        <w:t>,000. These funds support the</w:t>
      </w:r>
      <w:r w:rsidR="00204631" w:rsidRPr="006A33CB">
        <w:t xml:space="preserve"> </w:t>
      </w:r>
      <w:r w:rsidRPr="006A33CB">
        <w:t xml:space="preserve">Asotin IMW’s primary contractor and principle investigator, EcoLogical Research. Continued contract support </w:t>
      </w:r>
      <w:r w:rsidR="00204631" w:rsidRPr="006A33CB">
        <w:t xml:space="preserve">through a sub-award </w:t>
      </w:r>
      <w:r w:rsidRPr="006A33CB">
        <w:t xml:space="preserve">will be provided </w:t>
      </w:r>
      <w:r w:rsidR="00204631" w:rsidRPr="006A33CB">
        <w:t xml:space="preserve">to the </w:t>
      </w:r>
      <w:r w:rsidRPr="006A33CB">
        <w:t>Washington Department of Fish and Wildlife (WDF</w:t>
      </w:r>
      <w:r w:rsidR="00204631" w:rsidRPr="006A33CB">
        <w:t xml:space="preserve">W) as they have in years past. </w:t>
      </w:r>
    </w:p>
    <w:p w:rsidR="009D3D50" w:rsidRPr="006A33CB" w:rsidRDefault="00A23B73">
      <w:pPr>
        <w:spacing w:before="157" w:line="259" w:lineRule="auto"/>
        <w:ind w:left="320" w:right="933"/>
      </w:pPr>
      <w:r w:rsidRPr="006A33CB">
        <w:t>The Snake Salmon Recovery Region, and th</w:t>
      </w:r>
      <w:r w:rsidRPr="006A33CB">
        <w:t xml:space="preserve">e primary project sponsor have a well-developed and implemented IMW monitoring project in the Asotin </w:t>
      </w:r>
      <w:r w:rsidR="00204631" w:rsidRPr="006A33CB">
        <w:t xml:space="preserve">IMW complex </w:t>
      </w:r>
      <w:r w:rsidRPr="006A33CB">
        <w:t>that owes its success to ongoing and consistent collaboration. As in many natural resource efforts, adaptive management is a key element. This prog</w:t>
      </w:r>
      <w:r w:rsidRPr="006A33CB">
        <w:t>ram follows the adaptive management process of “learning by doing” and providing feedback, to the project principles and modifying project elements as appropriate.</w:t>
      </w:r>
    </w:p>
    <w:p w:rsidR="000E698E" w:rsidRDefault="000E698E" w:rsidP="000E698E">
      <w:pPr>
        <w:spacing w:before="158" w:line="259" w:lineRule="auto"/>
        <w:ind w:left="320" w:right="522"/>
      </w:pPr>
      <w:r>
        <w:t>The award</w:t>
      </w:r>
      <w:r w:rsidRPr="006A33CB">
        <w:t xml:space="preserve"> </w:t>
      </w:r>
      <w:r>
        <w:t xml:space="preserve">also </w:t>
      </w:r>
      <w:r w:rsidRPr="006A33CB">
        <w:t xml:space="preserve">provides administrative oversight to the RCO, as well as other IMW project </w:t>
      </w:r>
      <w:r>
        <w:t xml:space="preserve">sub-award </w:t>
      </w:r>
      <w:r w:rsidRPr="006A33CB">
        <w:t>support</w:t>
      </w:r>
      <w:r>
        <w:t>, i</w:t>
      </w:r>
      <w:r w:rsidRPr="006A33CB">
        <w:t>ncluding power and phone lines for telemetry for PIT tags, along with project reporting, communication and outreach with the Pacific NW Aquatic Monitoring Partnership (PNAMP).</w:t>
      </w:r>
      <w:r w:rsidRPr="00D20DA2">
        <w:t xml:space="preserve"> </w:t>
      </w:r>
    </w:p>
    <w:p w:rsidR="000E698E" w:rsidRDefault="000E698E" w:rsidP="000E698E">
      <w:pPr>
        <w:spacing w:before="158" w:line="259" w:lineRule="auto"/>
        <w:ind w:left="320" w:right="522"/>
      </w:pPr>
      <w:r>
        <w:t>The Snake River Salmon Recovery Region has worked diligently with their partners of the Asotin Conservation District, Ecological Research and WDFW, in completing restoration treatments AND monitoring, by leveraging other funds. The Snake Salmon Recovery Region intends to continue to support monitoring efforts in the Asotin IMW, which provides an eastern Washington analogue for the western Washington IMWs. The Asotin IMW is unique in its implementation of treatments and monitoring efforts due the coordination by the original sponsor of the project experimental design.</w:t>
      </w:r>
      <w:r>
        <w:t xml:space="preserve"> </w:t>
      </w:r>
      <w:r w:rsidRPr="006A33CB">
        <w:t>The associated descriptive eleme</w:t>
      </w:r>
      <w:r>
        <w:t>nts of the scope of work follow as well as the</w:t>
      </w:r>
      <w:r w:rsidRPr="000E698E">
        <w:t xml:space="preserve"> </w:t>
      </w:r>
      <w:r>
        <w:t>project budget.</w:t>
      </w:r>
    </w:p>
    <w:p w:rsidR="006A33CB" w:rsidRPr="00874763" w:rsidRDefault="000E698E" w:rsidP="00874763">
      <w:pPr>
        <w:spacing w:before="158" w:line="259" w:lineRule="auto"/>
        <w:ind w:left="320" w:right="522"/>
      </w:pPr>
      <w:r w:rsidRPr="00874763">
        <w:t xml:space="preserve">Keith Dublanica, </w:t>
      </w:r>
      <w:r w:rsidR="00874763" w:rsidRPr="00874763">
        <w:t>Science Coordinator -  Washington</w:t>
      </w:r>
      <w:r w:rsidR="00874763" w:rsidRPr="00874763">
        <w:t xml:space="preserve"> Recreation and Conservation Office </w:t>
      </w:r>
      <w:r w:rsidR="00874763" w:rsidRPr="00874763">
        <w:t xml:space="preserve"> / </w:t>
      </w:r>
      <w:r w:rsidRPr="00874763">
        <w:t>Governor’s</w:t>
      </w:r>
      <w:r w:rsidR="00B211C8">
        <w:t xml:space="preserve"> </w:t>
      </w:r>
      <w:r w:rsidRPr="00874763">
        <w:t xml:space="preserve">Salmon </w:t>
      </w:r>
      <w:r w:rsidRPr="00874763">
        <w:t xml:space="preserve">Recovery Office </w:t>
      </w:r>
      <w:r w:rsidR="00874763" w:rsidRPr="00874763">
        <w:t xml:space="preserve"> /  </w:t>
      </w:r>
      <w:r w:rsidRPr="00874763">
        <w:t>360.902.2242</w:t>
      </w:r>
      <w:r w:rsidR="00874763" w:rsidRPr="00874763">
        <w:t xml:space="preserve"> </w:t>
      </w:r>
      <w:r w:rsidR="00874763" w:rsidRPr="00874763">
        <w:tab/>
      </w:r>
      <w:r w:rsidRPr="00874763">
        <w:rPr>
          <w:color w:val="0461C1"/>
          <w:u w:val="single" w:color="0461C1"/>
        </w:rPr>
        <w:t>keith.dublanica@gsro.wa.gov</w:t>
      </w:r>
    </w:p>
    <w:p w:rsidR="009D3D50" w:rsidRPr="006A33CB" w:rsidRDefault="009D3D50" w:rsidP="00D34BCB">
      <w:pPr>
        <w:sectPr w:rsidR="009D3D50" w:rsidRPr="006A33CB" w:rsidSect="00B211C8">
          <w:footerReference w:type="default" r:id="rId13"/>
          <w:pgSz w:w="12240" w:h="15840"/>
          <w:pgMar w:top="1320" w:right="1120" w:bottom="1340" w:left="1120" w:header="775" w:footer="720" w:gutter="0"/>
          <w:cols w:space="720"/>
          <w:docGrid w:linePitch="299"/>
        </w:sectPr>
      </w:pPr>
    </w:p>
    <w:p w:rsidR="009D3D50" w:rsidRDefault="00A23B73" w:rsidP="00D34BCB">
      <w:pPr>
        <w:spacing w:before="92"/>
        <w:rPr>
          <w:b/>
          <w:sz w:val="28"/>
        </w:rPr>
      </w:pPr>
      <w:r>
        <w:rPr>
          <w:b/>
          <w:sz w:val="28"/>
        </w:rPr>
        <w:lastRenderedPageBreak/>
        <w:t>Snake River Intensively Monitored Watershed Asotin IMW Complex Summary</w:t>
      </w:r>
    </w:p>
    <w:p w:rsidR="000E698E" w:rsidRPr="000E698E" w:rsidRDefault="00A23B73" w:rsidP="000E698E">
      <w:pPr>
        <w:pStyle w:val="Heading2"/>
        <w:spacing w:before="28"/>
        <w:ind w:left="320"/>
      </w:pPr>
      <w:r>
        <w:t xml:space="preserve">Asotin </w:t>
      </w:r>
      <w:r>
        <w:t>Monitoring and Restorat</w:t>
      </w:r>
      <w:r w:rsidR="00204631">
        <w:t xml:space="preserve">ion- EcoLogical Research, </w:t>
      </w:r>
      <w:r>
        <w:t>Stephen Bennett, principle investigator</w:t>
      </w:r>
    </w:p>
    <w:p w:rsidR="000E698E" w:rsidRPr="000E698E" w:rsidRDefault="000E698E" w:rsidP="000E698E">
      <w:pPr>
        <w:spacing w:before="197"/>
        <w:ind w:left="320"/>
        <w:jc w:val="center"/>
        <w:rPr>
          <w:b/>
          <w:i/>
          <w:sz w:val="20"/>
          <w:szCs w:val="20"/>
        </w:rPr>
      </w:pPr>
      <w:r w:rsidRPr="000E698E">
        <w:rPr>
          <w:b/>
          <w:i/>
          <w:sz w:val="20"/>
          <w:szCs w:val="20"/>
        </w:rPr>
        <w:t>Sub-recipient summary of the PSMFC award for 2019 / 2020</w:t>
      </w:r>
      <w:r w:rsidR="00D71A7F">
        <w:rPr>
          <w:b/>
          <w:i/>
          <w:sz w:val="20"/>
          <w:szCs w:val="20"/>
        </w:rPr>
        <w:t xml:space="preserve"> (excerpt from 2017)</w:t>
      </w:r>
    </w:p>
    <w:p w:rsidR="009D3D50" w:rsidRDefault="00D34BCB">
      <w:pPr>
        <w:pStyle w:val="BodyText"/>
        <w:spacing w:before="10"/>
        <w:rPr>
          <w:b/>
          <w:i/>
          <w:sz w:val="15"/>
        </w:rPr>
      </w:pPr>
      <w:r w:rsidRPr="000E698E">
        <w:rPr>
          <w:noProof/>
          <w:lang w:bidi="ar-SA"/>
        </w:rPr>
        <mc:AlternateContent>
          <mc:Choice Requires="wps">
            <w:drawing>
              <wp:anchor distT="0" distB="0" distL="0" distR="0" simplePos="0" relativeHeight="251657728" behindDoc="1" locked="0" layoutInCell="1" allowOverlap="1">
                <wp:simplePos x="0" y="0"/>
                <wp:positionH relativeFrom="page">
                  <wp:posOffset>781685</wp:posOffset>
                </wp:positionH>
                <wp:positionV relativeFrom="paragraph">
                  <wp:posOffset>138430</wp:posOffset>
                </wp:positionV>
                <wp:extent cx="6210300" cy="273050"/>
                <wp:effectExtent l="635" t="0" r="0" b="0"/>
                <wp:wrapTopAndBottom/>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2730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3D50" w:rsidRDefault="00A23B73">
                            <w:pPr>
                              <w:spacing w:before="59"/>
                              <w:ind w:left="88"/>
                              <w:rPr>
                                <w:b/>
                              </w:rPr>
                            </w:pPr>
                            <w:r>
                              <w:rPr>
                                <w:b/>
                                <w:color w:val="FFFFFF"/>
                              </w:rPr>
                              <w:t>SUMMARY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61.55pt;margin-top:10.9pt;width:489pt;height:21.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" fillcolor="#4f81bc" stroked="f">
                <v:textbox inset="0,0,0,0">
                  <w:txbxContent>
                    <w:p w:rsidR="009D3D50" w:rsidRDefault="00A23B73">
                      <w:pPr>
                        <w:spacing w:before="59"/>
                        <w:ind w:left="88"/>
                        <w:rPr>
                          <w:b/>
                        </w:rPr>
                      </w:pPr>
                      <w:r>
                        <w:rPr>
                          <w:b/>
                          <w:color w:val="FFFFFF"/>
                        </w:rPr>
                        <w:t>SUMMARY</w:t>
                      </w:r>
                    </w:p>
                  </w:txbxContent>
                </v:textbox>
                <w10:wrap type="topAndBottom" anchorx="page"/>
              </v:shape>
            </w:pict>
          </mc:Fallback>
        </mc:AlternateContent>
      </w:r>
    </w:p>
    <w:p w:rsidR="009D3D50" w:rsidRDefault="009D3D50">
      <w:pPr>
        <w:pStyle w:val="BodyText"/>
        <w:spacing w:before="10"/>
        <w:rPr>
          <w:b/>
          <w:i/>
          <w:sz w:val="16"/>
        </w:rPr>
      </w:pPr>
    </w:p>
    <w:p w:rsidR="009D3D50" w:rsidRDefault="00A23B73">
      <w:pPr>
        <w:spacing w:before="59"/>
        <w:ind w:left="200"/>
        <w:rPr>
          <w:b/>
          <w:i/>
          <w:sz w:val="20"/>
        </w:rPr>
      </w:pPr>
      <w:r>
        <w:rPr>
          <w:b/>
          <w:i/>
          <w:sz w:val="20"/>
        </w:rPr>
        <w:t>Background</w:t>
      </w:r>
    </w:p>
    <w:p w:rsidR="009D3D50" w:rsidRDefault="00A23B73">
      <w:pPr>
        <w:pStyle w:val="BodyText"/>
        <w:spacing w:before="37" w:line="276" w:lineRule="auto"/>
        <w:ind w:left="200" w:right="220"/>
      </w:pPr>
      <w:r>
        <w:t>The Asotin Creek Intensively Monitored Watershed (IMW) was implemented in 2008. The focal species are natural reproducing summer steelhead. Based on previous habitat assessments and preliminary IMW monitoring it was decided that riparian function and instr</w:t>
      </w:r>
      <w:r>
        <w:t xml:space="preserve">eam habitat complexity were impaired. The restoration proposed was fencing, native plant revegetation, and weed control to enhance riparian function in the </w:t>
      </w:r>
      <w:r>
        <w:rPr>
          <w:b/>
        </w:rPr>
        <w:t>long-term</w:t>
      </w:r>
      <w:r>
        <w:t xml:space="preserve">, and the addition of large woody debris (LWD) in the </w:t>
      </w:r>
      <w:r>
        <w:rPr>
          <w:b/>
        </w:rPr>
        <w:t xml:space="preserve">short-term </w:t>
      </w:r>
      <w:r>
        <w:t>to increase habitat divers</w:t>
      </w:r>
      <w:r>
        <w:t>ity and promote a more dynamic channel (e.g., increase sediment sorting, pool frequency, and floodplain connection). We implemented the IMW using a staircase experimental design where restoration actions were implemented in different years starting in 2012</w:t>
      </w:r>
      <w:r>
        <w:t xml:space="preserve"> and ending in 2016 in three different streams. Each stream is divided into three 4 km long sections and one or more sections has been restored in each stream with the remaining sections acting as controls. We completed the restoration actions in 2016 and </w:t>
      </w:r>
      <w:r>
        <w:t>have built 654 large woody debris structures at an average density of 4.7 structures per 100 m in the treatment sections (~39% of the study area has been restored and 61% remains as controls). We are using extensive habitat sampling and fish PIT tagging an</w:t>
      </w:r>
      <w:r>
        <w:t>d re</w:t>
      </w:r>
      <w:r w:rsidR="00204631">
        <w:t>-</w:t>
      </w:r>
      <w:r>
        <w:t>sighting to estimate habitat changes and changes juvenile steelhead abundance, growth, survival, movement, production, and productivity in each experimental section.</w:t>
      </w:r>
    </w:p>
    <w:p w:rsidR="009D3D50" w:rsidRDefault="009D3D50">
      <w:pPr>
        <w:pStyle w:val="BodyText"/>
        <w:spacing w:before="11"/>
        <w:rPr>
          <w:sz w:val="19"/>
        </w:rPr>
      </w:pPr>
    </w:p>
    <w:p w:rsidR="009D3D50" w:rsidRDefault="009D3D50">
      <w:pPr>
        <w:pStyle w:val="BodyText"/>
      </w:pPr>
    </w:p>
    <w:p w:rsidR="009D3D50" w:rsidRDefault="00D34BCB">
      <w:pPr>
        <w:pStyle w:val="BodyText"/>
        <w:spacing w:before="5"/>
        <w:rPr>
          <w:sz w:val="18"/>
        </w:rPr>
      </w:pPr>
      <w:r>
        <w:rPr>
          <w:noProof/>
          <w:lang w:bidi="ar-SA"/>
        </w:rPr>
        <mc:AlternateContent>
          <mc:Choice Requires="wps">
            <w:drawing>
              <wp:anchor distT="0" distB="0" distL="0" distR="0" simplePos="0" relativeHeight="251658752" behindDoc="1" locked="0" layoutInCell="1" allowOverlap="1">
                <wp:simplePos x="0" y="0"/>
                <wp:positionH relativeFrom="page">
                  <wp:posOffset>781685</wp:posOffset>
                </wp:positionH>
                <wp:positionV relativeFrom="paragraph">
                  <wp:posOffset>158115</wp:posOffset>
                </wp:positionV>
                <wp:extent cx="6210300" cy="273685"/>
                <wp:effectExtent l="635" t="0" r="0" b="2540"/>
                <wp:wrapTopAndBottom/>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273685"/>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3D50" w:rsidRDefault="00A23B73">
                            <w:pPr>
                              <w:spacing w:before="59"/>
                              <w:ind w:left="88"/>
                              <w:rPr>
                                <w:b/>
                              </w:rPr>
                            </w:pPr>
                            <w:r>
                              <w:rPr>
                                <w:b/>
                                <w:color w:val="FFFFFF"/>
                              </w:rPr>
                              <w:t>BACKGROUND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61.55pt;margin-top:12.45pt;width:489pt;height:21.5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" fillcolor="#4f81bc" stroked="f">
                <v:textbox inset="0,0,0,0">
                  <w:txbxContent>
                    <w:p w:rsidR="009D3D50" w:rsidRDefault="00A23B73">
                      <w:pPr>
                        <w:spacing w:before="59"/>
                        <w:ind w:left="88"/>
                        <w:rPr>
                          <w:b/>
                        </w:rPr>
                      </w:pPr>
                      <w:r>
                        <w:rPr>
                          <w:b/>
                          <w:color w:val="FFFFFF"/>
                        </w:rPr>
                        <w:t>BACKGROUND</w:t>
                      </w:r>
                    </w:p>
                  </w:txbxContent>
                </v:textbox>
                <w10:wrap type="topAndBottom" anchorx="page"/>
              </v:shape>
            </w:pict>
          </mc:Fallback>
        </mc:AlternateContent>
      </w:r>
    </w:p>
    <w:p w:rsidR="009D3D50" w:rsidRDefault="009D3D50">
      <w:pPr>
        <w:pStyle w:val="BodyText"/>
        <w:spacing w:before="4"/>
        <w:rPr>
          <w:sz w:val="10"/>
        </w:rPr>
      </w:pPr>
    </w:p>
    <w:p w:rsidR="009D3D50" w:rsidRDefault="00A23B73" w:rsidP="00647B43">
      <w:pPr>
        <w:pStyle w:val="BodyText"/>
        <w:spacing w:before="59" w:line="276" w:lineRule="auto"/>
        <w:ind w:left="200" w:right="207"/>
      </w:pPr>
      <w:r>
        <w:t>In 2008, Asotin Creek was chosen as a location to implement an Intensively Monitored Watersheds (IMW) project in southeast Washington (</w:t>
      </w:r>
      <w:hyperlink w:anchor="_bookmark0" w:history="1">
        <w:r>
          <w:rPr>
            <w:b/>
          </w:rPr>
          <w:t>Figure 1</w:t>
        </w:r>
      </w:hyperlink>
      <w:r>
        <w:t xml:space="preserve">). We are implementing the IMW experiment within </w:t>
      </w:r>
      <w:r>
        <w:t>an adaptive management framework and have revised aspects of the experimental design, restoration plan, and monitoring based on the iterative evaluation process of adaptive management (</w:t>
      </w:r>
      <w:proofErr w:type="spellStart"/>
      <w:r>
        <w:t>Bouwes</w:t>
      </w:r>
      <w:proofErr w:type="spellEnd"/>
      <w:r>
        <w:t xml:space="preserve"> et al. 2016). An experimental study design has been developed an</w:t>
      </w:r>
      <w:r>
        <w:t>d refined for the Asotin Creek IMW that includes treatment and control sections within the Asotin Creek tributaries of Charley Creek, North Fork Asotin Creek (North Fork), and South Fork Asotin Creek (South Fork; hereafter referred to together as “study cr</w:t>
      </w:r>
      <w:r>
        <w:t>eeks”). The study creeks generally exhibit homogenized and degraded habitats, with</w:t>
      </w:r>
      <w:r w:rsidR="00647B43">
        <w:t xml:space="preserve"> </w:t>
      </w:r>
      <w:r>
        <w:t>poor riparian function and low frequencies of large woody debris and pool habitat which is thought to be limiting salmonid production (SRSRB 2011). A detailed Restoration Plan was developed that proposed</w:t>
      </w:r>
      <w:r w:rsidRPr="00D34BCB">
        <w:t xml:space="preserve"> </w:t>
      </w:r>
      <w:r w:rsidRPr="00D34BCB">
        <w:rPr>
          <w:i/>
        </w:rPr>
        <w:t>riparian enhancement and large woody debris addition</w:t>
      </w:r>
      <w:r w:rsidRPr="00D34BCB">
        <w:rPr>
          <w:i/>
        </w:rPr>
        <w:t xml:space="preserve">s as restoration treatments in the Asotin Creek IMW </w:t>
      </w:r>
      <w:r>
        <w:t>(Wheaton et al. 2012).</w:t>
      </w:r>
    </w:p>
    <w:p w:rsidR="009D3D50" w:rsidRDefault="009D3D50">
      <w:pPr>
        <w:pStyle w:val="BodyText"/>
        <w:spacing w:before="6"/>
        <w:rPr>
          <w:sz w:val="16"/>
        </w:rPr>
      </w:pPr>
    </w:p>
    <w:p w:rsidR="00D34BCB" w:rsidRDefault="00D34BCB" w:rsidP="00D34BCB">
      <w:pPr>
        <w:pStyle w:val="BodyText"/>
        <w:spacing w:line="276" w:lineRule="auto"/>
        <w:ind w:left="200" w:right="220"/>
      </w:pPr>
      <w:r>
        <w:t xml:space="preserve">The Asotin Creek IMW has been </w:t>
      </w:r>
      <w:r w:rsidR="00A23B73">
        <w:t xml:space="preserve">funded from NOAA's Pacific Coastal Salmon Recovery Fund (PCSRF) and the Pacific States Marine Fisheries Commission (PSMFC). The NOAA funds are used to fund </w:t>
      </w:r>
      <w:r w:rsidR="00A23B73">
        <w:t>the ongoing fish and habitat monitoring and data collection and analysis. These funds are administered via the Governors Salmon Recovery Office. A separate project funded by the Bonneville Power Administration (BPA) and implemented by the WDFW provides fis</w:t>
      </w:r>
      <w:r w:rsidR="00A23B73">
        <w:t xml:space="preserve">h-in, fish- out monitoring for the Asotin watershed (Crawford et al. 2016). </w:t>
      </w:r>
    </w:p>
    <w:p w:rsidR="00D34BCB" w:rsidRDefault="00D34BCB" w:rsidP="00D34BCB">
      <w:pPr>
        <w:pStyle w:val="BodyText"/>
        <w:spacing w:line="276" w:lineRule="auto"/>
        <w:ind w:left="200" w:right="220"/>
      </w:pPr>
    </w:p>
    <w:p w:rsidR="00CD5FF6" w:rsidRDefault="00D34BCB" w:rsidP="00CD5FF6">
      <w:pPr>
        <w:pStyle w:val="BodyText"/>
        <w:spacing w:line="276" w:lineRule="auto"/>
        <w:ind w:left="200" w:right="220"/>
      </w:pPr>
      <w:r>
        <w:t xml:space="preserve">EcoLogical Research implemented the IMW using a </w:t>
      </w:r>
      <w:r w:rsidRPr="00D34BCB">
        <w:rPr>
          <w:i/>
        </w:rPr>
        <w:t>staircase experimental design</w:t>
      </w:r>
      <w:r>
        <w:t xml:space="preserve"> where restoration actions were implemented in different years starting in 2012 and ending in 2016 in three different streams. Each stream is divided i</w:t>
      </w:r>
      <w:r w:rsidR="00647B43">
        <w:t>nto three 4 km long sections. O</w:t>
      </w:r>
      <w:r>
        <w:t>ne or more sections has been restored in each stream with the remaining sections</w:t>
      </w:r>
      <w:r>
        <w:t xml:space="preserve"> acting as </w:t>
      </w:r>
      <w:r>
        <w:t>controls (Appendix A). See Bennett et al. (2015) for details on activities from 2008-2015.</w:t>
      </w:r>
    </w:p>
    <w:p w:rsidR="009D3D50" w:rsidRPr="00CD5FF6" w:rsidRDefault="00A23B73" w:rsidP="00CD5FF6">
      <w:pPr>
        <w:pStyle w:val="BodyText"/>
        <w:spacing w:line="276" w:lineRule="auto"/>
        <w:ind w:right="220"/>
      </w:pPr>
      <w:r w:rsidRPr="00D34BCB">
        <w:rPr>
          <w:noProof/>
          <w:sz w:val="18"/>
          <w:szCs w:val="18"/>
          <w:lang w:bidi="ar-SA"/>
        </w:rPr>
        <w:lastRenderedPageBreak/>
        <w:drawing>
          <wp:anchor distT="0" distB="0" distL="0" distR="0" simplePos="0" relativeHeight="251659264" behindDoc="0" locked="0" layoutInCell="1" allowOverlap="1">
            <wp:simplePos x="0" y="0"/>
            <wp:positionH relativeFrom="page">
              <wp:posOffset>2159635</wp:posOffset>
            </wp:positionH>
            <wp:positionV relativeFrom="paragraph">
              <wp:posOffset>226695</wp:posOffset>
            </wp:positionV>
            <wp:extent cx="3508375" cy="290258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4" cstate="print"/>
                    <a:stretch>
                      <a:fillRect/>
                    </a:stretch>
                  </pic:blipFill>
                  <pic:spPr>
                    <a:xfrm>
                      <a:off x="0" y="0"/>
                      <a:ext cx="3508375" cy="2902585"/>
                    </a:xfrm>
                    <a:prstGeom prst="rect">
                      <a:avLst/>
                    </a:prstGeom>
                  </pic:spPr>
                </pic:pic>
              </a:graphicData>
            </a:graphic>
            <wp14:sizeRelH relativeFrom="margin">
              <wp14:pctWidth>0</wp14:pctWidth>
            </wp14:sizeRelH>
            <wp14:sizeRelV relativeFrom="margin">
              <wp14:pctHeight>0</wp14:pctHeight>
            </wp14:sizeRelV>
          </wp:anchor>
        </w:drawing>
      </w:r>
      <w:bookmarkStart w:id="1" w:name="_bookmark0"/>
      <w:bookmarkEnd w:id="1"/>
    </w:p>
    <w:p w:rsidR="006A33CB" w:rsidRDefault="006A33CB" w:rsidP="00D34BCB">
      <w:pPr>
        <w:pStyle w:val="BodyText"/>
        <w:spacing w:line="276" w:lineRule="auto"/>
        <w:ind w:right="220"/>
        <w:rPr>
          <w:b/>
          <w:sz w:val="18"/>
          <w:szCs w:val="18"/>
        </w:rPr>
      </w:pPr>
    </w:p>
    <w:p w:rsidR="006A33CB" w:rsidRDefault="006A33CB" w:rsidP="00D34BCB">
      <w:pPr>
        <w:pStyle w:val="BodyText"/>
        <w:spacing w:line="276" w:lineRule="auto"/>
        <w:ind w:right="220"/>
        <w:rPr>
          <w:b/>
          <w:sz w:val="16"/>
          <w:szCs w:val="16"/>
        </w:rPr>
      </w:pPr>
      <w:r w:rsidRPr="00CD5FF6">
        <w:rPr>
          <w:b/>
          <w:sz w:val="16"/>
          <w:szCs w:val="16"/>
        </w:rPr>
        <w:t>Figure 1. Location of Asotin Creek within Washington and the Asotin Creek Intensively Monitored Watershed study</w:t>
      </w:r>
      <w:r w:rsidRPr="00CD5FF6">
        <w:rPr>
          <w:b/>
          <w:sz w:val="16"/>
          <w:szCs w:val="16"/>
        </w:rPr>
        <w:t xml:space="preserve"> </w:t>
      </w:r>
      <w:r w:rsidRPr="00CD5FF6">
        <w:rPr>
          <w:b/>
          <w:sz w:val="16"/>
          <w:szCs w:val="16"/>
        </w:rPr>
        <w:t xml:space="preserve">watersheds (i.e., </w:t>
      </w:r>
      <w:r w:rsidRPr="00CD5FF6">
        <w:rPr>
          <w:b/>
          <w:sz w:val="16"/>
          <w:szCs w:val="16"/>
        </w:rPr>
        <w:t>Charley</w:t>
      </w:r>
      <w:r w:rsidR="00CD5FF6" w:rsidRPr="00CD5FF6">
        <w:rPr>
          <w:b/>
          <w:sz w:val="16"/>
          <w:szCs w:val="16"/>
        </w:rPr>
        <w:t xml:space="preserve"> Creek, North Fork, South Fork) within the Asotin basin.</w:t>
      </w:r>
    </w:p>
    <w:p w:rsidR="00CD5FF6" w:rsidRPr="00CD5FF6" w:rsidRDefault="00CD5FF6" w:rsidP="00D34BCB">
      <w:pPr>
        <w:pStyle w:val="BodyText"/>
        <w:spacing w:line="276" w:lineRule="auto"/>
        <w:ind w:right="220"/>
        <w:rPr>
          <w:b/>
          <w:sz w:val="16"/>
          <w:szCs w:val="16"/>
        </w:rPr>
      </w:pPr>
    </w:p>
    <w:p w:rsidR="009D3D50" w:rsidRDefault="009D3D50">
      <w:pPr>
        <w:pStyle w:val="BodyText"/>
        <w:rPr>
          <w:b/>
          <w:sz w:val="4"/>
        </w:rPr>
      </w:pPr>
    </w:p>
    <w:p w:rsidR="009D3D50" w:rsidRDefault="00D34BCB">
      <w:pPr>
        <w:pStyle w:val="BodyText"/>
        <w:ind w:left="111"/>
      </w:pPr>
      <w:r>
        <w:rPr>
          <w:noProof/>
          <w:lang w:bidi="ar-SA"/>
        </w:rPr>
        <mc:AlternateContent>
          <mc:Choice Requires="wps">
            <w:drawing>
              <wp:inline distT="0" distB="0" distL="0" distR="0">
                <wp:extent cx="6210300" cy="273050"/>
                <wp:effectExtent l="635" t="3810" r="0" b="0"/>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2730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3D50" w:rsidRDefault="00A23B73">
                            <w:pPr>
                              <w:spacing w:before="57"/>
                              <w:ind w:left="88"/>
                              <w:rPr>
                                <w:b/>
                              </w:rPr>
                            </w:pPr>
                            <w:r>
                              <w:rPr>
                                <w:b/>
                                <w:color w:val="FFFFFF"/>
                              </w:rPr>
                              <w:t>ASOTIN IMW STATUS</w:t>
                            </w:r>
                          </w:p>
                        </w:txbxContent>
                      </wps:txbx>
                      <wps:bodyPr rot="0" vert="horz" wrap="square" lIns="0" tIns="0" rIns="0" bIns="0" anchor="t" anchorCtr="0" upright="1">
                        <a:noAutofit/>
                      </wps:bodyPr>
                    </wps:wsp>
                  </a:graphicData>
                </a:graphic>
              </wp:inline>
            </w:drawing>
          </mc:Choice>
          <mc:Fallback>
            <w:pict>
              <v:shape id="Text Box 8" o:spid="_x0000_s1028" type="#_x0000_t202" style="width:489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" fillcolor="#4f81bc" stroked="f">
                <v:textbox inset="0,0,0,0">
                  <w:txbxContent>
                    <w:p w:rsidR="009D3D50" w:rsidRDefault="00A23B73">
                      <w:pPr>
                        <w:spacing w:before="57"/>
                        <w:ind w:left="88"/>
                        <w:rPr>
                          <w:b/>
                        </w:rPr>
                      </w:pPr>
                      <w:r>
                        <w:rPr>
                          <w:b/>
                          <w:color w:val="FFFFFF"/>
                        </w:rPr>
                        <w:t>ASOTIN IMW STATUS</w:t>
                      </w:r>
                    </w:p>
                  </w:txbxContent>
                </v:textbox>
                <w10:anchorlock/>
              </v:shape>
            </w:pict>
          </mc:Fallback>
        </mc:AlternateContent>
      </w:r>
    </w:p>
    <w:p w:rsidR="009D3D50" w:rsidRDefault="009D3D50">
      <w:pPr>
        <w:pStyle w:val="BodyText"/>
        <w:rPr>
          <w:b/>
          <w:sz w:val="10"/>
        </w:rPr>
      </w:pPr>
    </w:p>
    <w:p w:rsidR="009D3D50" w:rsidRPr="00D34BCB" w:rsidRDefault="00D34BCB" w:rsidP="00D34BCB">
      <w:pPr>
        <w:pStyle w:val="BodyText"/>
        <w:spacing w:before="59" w:line="276" w:lineRule="auto"/>
        <w:ind w:left="200" w:right="236"/>
      </w:pPr>
      <w:r>
        <w:t>Th</w:t>
      </w:r>
      <w:r w:rsidR="00A23B73">
        <w:t xml:space="preserve">e Asotin IMW </w:t>
      </w:r>
      <w:r>
        <w:t xml:space="preserve">began </w:t>
      </w:r>
      <w:r w:rsidR="00A23B73">
        <w:t>in 2008 and it has been running for ten years (</w:t>
      </w:r>
      <w:hyperlink w:anchor="_bookmark1" w:history="1">
        <w:r w:rsidR="00A23B73">
          <w:rPr>
            <w:b/>
          </w:rPr>
          <w:t>Figure 2</w:t>
        </w:r>
      </w:hyperlink>
      <w:r w:rsidR="00A23B73">
        <w:t>). We secured funding to install the majority of the monitoring infrastructure (e.g., PIT tag arrays, water height gages</w:t>
      </w:r>
      <w:r w:rsidR="00A23B73">
        <w:t xml:space="preserve">, and temperature probes) in 2009. The Asotin IMW also relies on the intensive monitoring of fish-in fish-out conducted by WDFW to provide detailed information on age, condition, size, migration timing, and spawning distribution of steelhead in the Asotin </w:t>
      </w:r>
      <w:r w:rsidR="00A23B73">
        <w:t xml:space="preserve">watershed (Crawford et al. 2016). A total of four PIT tag interrogation sites, a </w:t>
      </w:r>
      <w:proofErr w:type="spellStart"/>
      <w:r w:rsidR="00A23B73">
        <w:t>smolt</w:t>
      </w:r>
      <w:proofErr w:type="spellEnd"/>
      <w:r w:rsidR="00A23B73">
        <w:t xml:space="preserve"> trap, and adult weir provide valuable data to the IMW for asses</w:t>
      </w:r>
      <w:r>
        <w:t>sing restoration effectiveness. R</w:t>
      </w:r>
      <w:r w:rsidR="00A23B73">
        <w:t>estoration</w:t>
      </w:r>
      <w:r>
        <w:t xml:space="preserve"> has been completed</w:t>
      </w:r>
      <w:r w:rsidR="00A23B73">
        <w:t xml:space="preserve"> for the IMW</w:t>
      </w:r>
      <w:r>
        <w:t xml:space="preserve">:  treating </w:t>
      </w:r>
      <w:r w:rsidR="00A23B73">
        <w:t>14 km</w:t>
      </w:r>
      <w:r w:rsidR="00CD5FF6">
        <w:t>.</w:t>
      </w:r>
    </w:p>
    <w:p w:rsidR="00CD5FF6" w:rsidRDefault="00CD5FF6" w:rsidP="00D34BCB">
      <w:pPr>
        <w:pStyle w:val="BodyText"/>
        <w:spacing w:before="3"/>
        <w:rPr>
          <w:b/>
          <w:sz w:val="18"/>
          <w:szCs w:val="18"/>
        </w:rPr>
      </w:pPr>
    </w:p>
    <w:p w:rsidR="00647B43" w:rsidRDefault="00647B43" w:rsidP="00D20DA2">
      <w:pPr>
        <w:pStyle w:val="BodyText"/>
        <w:spacing w:before="3"/>
        <w:rPr>
          <w:b/>
          <w:sz w:val="18"/>
          <w:szCs w:val="18"/>
        </w:rPr>
      </w:pPr>
    </w:p>
    <w:p w:rsidR="002F18C1" w:rsidRDefault="00A23B73" w:rsidP="00D20DA2">
      <w:pPr>
        <w:pStyle w:val="BodyText"/>
        <w:spacing w:before="3"/>
        <w:rPr>
          <w:b/>
        </w:rPr>
      </w:pPr>
      <w:r>
        <w:rPr>
          <w:noProof/>
          <w:lang w:bidi="ar-SA"/>
        </w:rPr>
        <w:drawing>
          <wp:anchor distT="0" distB="0" distL="0" distR="0" simplePos="0" relativeHeight="251660288" behindDoc="0" locked="0" layoutInCell="1" allowOverlap="1">
            <wp:simplePos x="0" y="0"/>
            <wp:positionH relativeFrom="page">
              <wp:posOffset>1671954</wp:posOffset>
            </wp:positionH>
            <wp:positionV relativeFrom="paragraph">
              <wp:posOffset>127919</wp:posOffset>
            </wp:positionV>
            <wp:extent cx="4419213" cy="2372867"/>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5" cstate="print"/>
                    <a:stretch>
                      <a:fillRect/>
                    </a:stretch>
                  </pic:blipFill>
                  <pic:spPr>
                    <a:xfrm>
                      <a:off x="0" y="0"/>
                      <a:ext cx="4419213" cy="2372867"/>
                    </a:xfrm>
                    <a:prstGeom prst="rect">
                      <a:avLst/>
                    </a:prstGeom>
                  </pic:spPr>
                </pic:pic>
              </a:graphicData>
            </a:graphic>
          </wp:anchor>
        </w:drawing>
      </w:r>
      <w:bookmarkStart w:id="2" w:name="_bookmark1"/>
      <w:bookmarkEnd w:id="2"/>
      <w:r w:rsidRPr="00D34BCB">
        <w:rPr>
          <w:b/>
          <w:sz w:val="18"/>
          <w:szCs w:val="18"/>
        </w:rPr>
        <w:t>Figure 2</w:t>
      </w:r>
      <w:r w:rsidRPr="00CD5FF6">
        <w:rPr>
          <w:b/>
          <w:sz w:val="18"/>
          <w:szCs w:val="18"/>
        </w:rPr>
        <w:t xml:space="preserve">. </w:t>
      </w:r>
      <w:r w:rsidRPr="00CD5FF6">
        <w:rPr>
          <w:b/>
          <w:sz w:val="16"/>
          <w:szCs w:val="16"/>
        </w:rPr>
        <w:t>Timeline of Asotin Creek IMW design, monitoring, and restoration implementation. The initial restoration design of 12 km of wood treatments was completed from 2012-2014. Another restoration treatment to extend South Fork was implemented in 2016 a</w:t>
      </w:r>
      <w:r w:rsidRPr="00CD5FF6">
        <w:rPr>
          <w:b/>
          <w:sz w:val="16"/>
          <w:szCs w:val="16"/>
        </w:rPr>
        <w:t>long with adding more wood to existing structures to enhance their function in 2016 and 2017. Monitoring of habitat and f</w:t>
      </w:r>
      <w:r w:rsidR="00932FC6">
        <w:rPr>
          <w:b/>
          <w:sz w:val="16"/>
          <w:szCs w:val="16"/>
        </w:rPr>
        <w:t>ish is expected to continue pas</w:t>
      </w:r>
      <w:r w:rsidRPr="00CD5FF6">
        <w:rPr>
          <w:b/>
          <w:sz w:val="16"/>
          <w:szCs w:val="16"/>
        </w:rPr>
        <w:t>t 2021.</w:t>
      </w:r>
    </w:p>
    <w:p w:rsidR="003E24E9" w:rsidRDefault="003E24E9">
      <w:pPr>
        <w:rPr>
          <w:b/>
        </w:rPr>
      </w:pPr>
      <w:r>
        <w:rPr>
          <w:b/>
        </w:rPr>
        <w:br w:type="page"/>
      </w:r>
    </w:p>
    <w:p w:rsidR="008A71C1" w:rsidRDefault="008A71C1">
      <w:pPr>
        <w:sectPr w:rsidR="008A71C1" w:rsidSect="00932FC6">
          <w:headerReference w:type="default" r:id="rId16"/>
          <w:footerReference w:type="default" r:id="rId17"/>
          <w:pgSz w:w="12240" w:h="15840"/>
          <w:pgMar w:top="700" w:right="1300" w:bottom="280" w:left="1300" w:header="0" w:footer="720" w:gutter="0"/>
          <w:cols w:space="720"/>
          <w:docGrid w:linePitch="299"/>
        </w:sectPr>
      </w:pPr>
    </w:p>
    <w:p w:rsidR="00647B43" w:rsidRDefault="00647B43"/>
    <w:p w:rsidR="008A71C1" w:rsidRDefault="008A71C1" w:rsidP="008A71C1">
      <w:pPr>
        <w:tabs>
          <w:tab w:val="left" w:pos="5920"/>
        </w:tabs>
        <w:spacing w:before="193"/>
        <w:ind w:right="4945"/>
        <w:rPr>
          <w:b/>
          <w:sz w:val="24"/>
        </w:rPr>
      </w:pPr>
      <w:r>
        <w:rPr>
          <w:b/>
          <w:sz w:val="24"/>
        </w:rPr>
        <w:t>Statement of Work, Schedule and Estimated Costs by Task for the Asotin</w:t>
      </w:r>
      <w:r w:rsidRPr="00DE45E0">
        <w:rPr>
          <w:b/>
          <w:sz w:val="24"/>
        </w:rPr>
        <w:t xml:space="preserve"> </w:t>
      </w:r>
      <w:r>
        <w:rPr>
          <w:b/>
          <w:sz w:val="24"/>
        </w:rPr>
        <w:t>Intensively Monitored Watershed (IMW) Sub- Award to EcoLogical Research                                                                               July 1, 2019 to June 30,</w:t>
      </w:r>
      <w:r>
        <w:rPr>
          <w:b/>
          <w:spacing w:val="-18"/>
          <w:sz w:val="24"/>
        </w:rPr>
        <w:t xml:space="preserve"> </w:t>
      </w:r>
      <w:r>
        <w:rPr>
          <w:b/>
          <w:sz w:val="24"/>
        </w:rPr>
        <w:t>2020</w:t>
      </w:r>
    </w:p>
    <w:p w:rsidR="008A71C1" w:rsidRDefault="008A71C1" w:rsidP="008A71C1">
      <w:pPr>
        <w:pStyle w:val="BodyText"/>
        <w:spacing w:before="3"/>
        <w:rPr>
          <w:b/>
          <w:sz w:val="16"/>
          <w:szCs w:val="16"/>
        </w:rPr>
      </w:pPr>
    </w:p>
    <w:tbl>
      <w:tblPr>
        <w:tblW w:w="14120" w:type="dxa"/>
        <w:tblCellMar>
          <w:left w:w="0" w:type="dxa"/>
          <w:right w:w="0" w:type="dxa"/>
        </w:tblCellMar>
        <w:tblLook w:val="04A0" w:firstRow="1" w:lastRow="0" w:firstColumn="1" w:lastColumn="0" w:noHBand="0" w:noVBand="1"/>
      </w:tblPr>
      <w:tblGrid>
        <w:gridCol w:w="976"/>
        <w:gridCol w:w="1057"/>
        <w:gridCol w:w="2460"/>
        <w:gridCol w:w="5931"/>
        <w:gridCol w:w="953"/>
        <w:gridCol w:w="578"/>
        <w:gridCol w:w="953"/>
        <w:gridCol w:w="1212"/>
      </w:tblGrid>
      <w:tr w:rsidR="008A71C1" w:rsidTr="00327F7A">
        <w:trPr>
          <w:trHeight w:val="645"/>
        </w:trPr>
        <w:tc>
          <w:tcPr>
            <w:tcW w:w="976" w:type="dxa"/>
            <w:tcBorders>
              <w:top w:val="single" w:sz="4" w:space="0" w:color="auto"/>
              <w:left w:val="single" w:sz="4" w:space="0" w:color="auto"/>
              <w:bottom w:val="single" w:sz="8" w:space="0" w:color="auto"/>
              <w:right w:val="single" w:sz="4" w:space="0" w:color="auto"/>
            </w:tcBorders>
            <w:shd w:val="clear" w:color="auto" w:fill="auto"/>
            <w:tcMar>
              <w:top w:w="15" w:type="dxa"/>
              <w:left w:w="15" w:type="dxa"/>
              <w:bottom w:w="0" w:type="dxa"/>
              <w:right w:w="15" w:type="dxa"/>
            </w:tcMar>
            <w:vAlign w:val="bottom"/>
            <w:hideMark/>
          </w:tcPr>
          <w:p w:rsidR="008A71C1" w:rsidRDefault="008A71C1" w:rsidP="00327F7A">
            <w:pPr>
              <w:rPr>
                <w:rFonts w:eastAsia="Times New Roman"/>
                <w:b/>
                <w:bCs/>
                <w:color w:val="000000"/>
                <w:lang w:bidi="ar-SA"/>
              </w:rPr>
            </w:pPr>
          </w:p>
        </w:tc>
        <w:tc>
          <w:tcPr>
            <w:tcW w:w="1057" w:type="dxa"/>
            <w:tcBorders>
              <w:top w:val="single" w:sz="4" w:space="0" w:color="auto"/>
              <w:left w:val="nil"/>
              <w:bottom w:val="single" w:sz="8" w:space="0" w:color="auto"/>
              <w:right w:val="single" w:sz="4" w:space="0" w:color="auto"/>
            </w:tcBorders>
            <w:shd w:val="clear" w:color="auto" w:fill="auto"/>
            <w:tcMar>
              <w:top w:w="15" w:type="dxa"/>
              <w:left w:w="15" w:type="dxa"/>
              <w:bottom w:w="0" w:type="dxa"/>
              <w:right w:w="15" w:type="dxa"/>
            </w:tcMar>
            <w:vAlign w:val="bottom"/>
            <w:hideMark/>
          </w:tcPr>
          <w:p w:rsidR="008A71C1" w:rsidRDefault="008A71C1" w:rsidP="00327F7A">
            <w:pPr>
              <w:jc w:val="center"/>
              <w:rPr>
                <w:b/>
                <w:bCs/>
                <w:color w:val="000000"/>
              </w:rPr>
            </w:pPr>
            <w:r>
              <w:rPr>
                <w:b/>
                <w:bCs/>
                <w:color w:val="000000"/>
              </w:rPr>
              <w:t>End Date</w:t>
            </w:r>
          </w:p>
        </w:tc>
        <w:tc>
          <w:tcPr>
            <w:tcW w:w="2460" w:type="dxa"/>
            <w:tcBorders>
              <w:top w:val="single" w:sz="4" w:space="0" w:color="auto"/>
              <w:left w:val="nil"/>
              <w:bottom w:val="single" w:sz="8" w:space="0" w:color="auto"/>
              <w:right w:val="single" w:sz="4" w:space="0" w:color="auto"/>
            </w:tcBorders>
            <w:shd w:val="clear" w:color="auto" w:fill="auto"/>
            <w:tcMar>
              <w:top w:w="15" w:type="dxa"/>
              <w:left w:w="15" w:type="dxa"/>
              <w:bottom w:w="0" w:type="dxa"/>
              <w:right w:w="15" w:type="dxa"/>
            </w:tcMar>
            <w:vAlign w:val="bottom"/>
            <w:hideMark/>
          </w:tcPr>
          <w:p w:rsidR="008A71C1" w:rsidRDefault="008A71C1" w:rsidP="00327F7A">
            <w:pPr>
              <w:rPr>
                <w:b/>
                <w:bCs/>
                <w:color w:val="000000"/>
              </w:rPr>
            </w:pPr>
            <w:r>
              <w:rPr>
                <w:b/>
                <w:bCs/>
                <w:color w:val="000000"/>
              </w:rPr>
              <w:t xml:space="preserve">Task/Personnel </w:t>
            </w:r>
          </w:p>
        </w:tc>
        <w:tc>
          <w:tcPr>
            <w:tcW w:w="5931" w:type="dxa"/>
            <w:tcBorders>
              <w:top w:val="single" w:sz="4" w:space="0" w:color="auto"/>
              <w:left w:val="nil"/>
              <w:bottom w:val="single" w:sz="8" w:space="0" w:color="auto"/>
              <w:right w:val="single" w:sz="4" w:space="0" w:color="auto"/>
            </w:tcBorders>
            <w:shd w:val="clear" w:color="auto" w:fill="auto"/>
            <w:tcMar>
              <w:top w:w="15" w:type="dxa"/>
              <w:left w:w="15" w:type="dxa"/>
              <w:bottom w:w="0" w:type="dxa"/>
              <w:right w:w="15" w:type="dxa"/>
            </w:tcMar>
            <w:vAlign w:val="bottom"/>
            <w:hideMark/>
          </w:tcPr>
          <w:p w:rsidR="008A71C1" w:rsidRDefault="008A71C1" w:rsidP="00327F7A">
            <w:pPr>
              <w:rPr>
                <w:b/>
                <w:bCs/>
                <w:color w:val="000000"/>
              </w:rPr>
            </w:pPr>
            <w:r>
              <w:rPr>
                <w:b/>
                <w:bCs/>
                <w:color w:val="000000"/>
              </w:rPr>
              <w:t>Description and Rational</w:t>
            </w:r>
          </w:p>
        </w:tc>
        <w:tc>
          <w:tcPr>
            <w:tcW w:w="953" w:type="dxa"/>
            <w:tcBorders>
              <w:top w:val="single" w:sz="4" w:space="0" w:color="auto"/>
              <w:left w:val="nil"/>
              <w:bottom w:val="single" w:sz="8" w:space="0" w:color="auto"/>
              <w:right w:val="single" w:sz="4" w:space="0" w:color="auto"/>
            </w:tcBorders>
            <w:shd w:val="clear" w:color="auto" w:fill="auto"/>
            <w:tcMar>
              <w:top w:w="15" w:type="dxa"/>
              <w:left w:w="15" w:type="dxa"/>
              <w:bottom w:w="0" w:type="dxa"/>
              <w:right w:w="15" w:type="dxa"/>
            </w:tcMar>
            <w:vAlign w:val="bottom"/>
            <w:hideMark/>
          </w:tcPr>
          <w:p w:rsidR="008A71C1" w:rsidRDefault="008A71C1" w:rsidP="00327F7A">
            <w:pPr>
              <w:jc w:val="right"/>
              <w:rPr>
                <w:b/>
                <w:bCs/>
                <w:color w:val="000000"/>
              </w:rPr>
            </w:pPr>
            <w:r>
              <w:rPr>
                <w:b/>
                <w:bCs/>
                <w:color w:val="000000"/>
              </w:rPr>
              <w:t>Cost</w:t>
            </w:r>
          </w:p>
        </w:tc>
        <w:tc>
          <w:tcPr>
            <w:tcW w:w="578" w:type="dxa"/>
            <w:tcBorders>
              <w:top w:val="single" w:sz="4" w:space="0" w:color="auto"/>
              <w:left w:val="nil"/>
              <w:bottom w:val="single" w:sz="8" w:space="0" w:color="auto"/>
              <w:right w:val="single" w:sz="4" w:space="0" w:color="auto"/>
            </w:tcBorders>
            <w:shd w:val="clear" w:color="auto" w:fill="auto"/>
            <w:tcMar>
              <w:top w:w="15" w:type="dxa"/>
              <w:left w:w="15" w:type="dxa"/>
              <w:bottom w:w="0" w:type="dxa"/>
              <w:right w:w="15" w:type="dxa"/>
            </w:tcMar>
            <w:vAlign w:val="bottom"/>
            <w:hideMark/>
          </w:tcPr>
          <w:p w:rsidR="008A71C1" w:rsidRDefault="008A71C1" w:rsidP="00327F7A">
            <w:pPr>
              <w:jc w:val="right"/>
              <w:rPr>
                <w:b/>
                <w:bCs/>
                <w:color w:val="000000"/>
              </w:rPr>
            </w:pPr>
            <w:r>
              <w:rPr>
                <w:b/>
                <w:bCs/>
                <w:color w:val="000000"/>
              </w:rPr>
              <w:t>Unit</w:t>
            </w:r>
          </w:p>
        </w:tc>
        <w:tc>
          <w:tcPr>
            <w:tcW w:w="953" w:type="dxa"/>
            <w:tcBorders>
              <w:top w:val="single" w:sz="4" w:space="0" w:color="auto"/>
              <w:left w:val="nil"/>
              <w:bottom w:val="single" w:sz="8" w:space="0" w:color="auto"/>
              <w:right w:val="single" w:sz="4" w:space="0" w:color="auto"/>
            </w:tcBorders>
            <w:shd w:val="clear" w:color="auto" w:fill="auto"/>
            <w:tcMar>
              <w:top w:w="15" w:type="dxa"/>
              <w:left w:w="15" w:type="dxa"/>
              <w:bottom w:w="0" w:type="dxa"/>
              <w:right w:w="15" w:type="dxa"/>
            </w:tcMar>
            <w:vAlign w:val="bottom"/>
            <w:hideMark/>
          </w:tcPr>
          <w:p w:rsidR="008A71C1" w:rsidRDefault="008A71C1" w:rsidP="00327F7A">
            <w:pPr>
              <w:jc w:val="right"/>
              <w:rPr>
                <w:b/>
                <w:bCs/>
                <w:color w:val="000000"/>
              </w:rPr>
            </w:pPr>
            <w:r>
              <w:rPr>
                <w:b/>
                <w:bCs/>
                <w:color w:val="000000"/>
              </w:rPr>
              <w:t># of Units</w:t>
            </w:r>
          </w:p>
        </w:tc>
        <w:tc>
          <w:tcPr>
            <w:tcW w:w="1212" w:type="dxa"/>
            <w:tcBorders>
              <w:top w:val="single" w:sz="4" w:space="0" w:color="auto"/>
              <w:left w:val="nil"/>
              <w:bottom w:val="single" w:sz="8" w:space="0" w:color="auto"/>
              <w:right w:val="single" w:sz="4" w:space="0" w:color="auto"/>
            </w:tcBorders>
            <w:shd w:val="clear" w:color="auto" w:fill="auto"/>
            <w:tcMar>
              <w:top w:w="15" w:type="dxa"/>
              <w:left w:w="15" w:type="dxa"/>
              <w:bottom w:w="0" w:type="dxa"/>
              <w:right w:w="15" w:type="dxa"/>
            </w:tcMar>
            <w:vAlign w:val="bottom"/>
            <w:hideMark/>
          </w:tcPr>
          <w:p w:rsidR="008A71C1" w:rsidRDefault="008A71C1" w:rsidP="00327F7A">
            <w:pPr>
              <w:jc w:val="right"/>
              <w:rPr>
                <w:b/>
                <w:bCs/>
                <w:color w:val="000000"/>
              </w:rPr>
            </w:pPr>
            <w:r>
              <w:rPr>
                <w:b/>
                <w:bCs/>
                <w:color w:val="000000"/>
              </w:rPr>
              <w:t>Budget Request</w:t>
            </w:r>
          </w:p>
        </w:tc>
      </w:tr>
      <w:tr w:rsidR="008A71C1" w:rsidTr="00327F7A">
        <w:trPr>
          <w:trHeight w:val="451"/>
        </w:trPr>
        <w:tc>
          <w:tcPr>
            <w:tcW w:w="14120" w:type="dxa"/>
            <w:gridSpan w:val="8"/>
            <w:tcBorders>
              <w:top w:val="single" w:sz="8"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8A71C1" w:rsidRDefault="008A71C1" w:rsidP="00327F7A">
            <w:pPr>
              <w:jc w:val="center"/>
              <w:rPr>
                <w:b/>
                <w:bCs/>
                <w:i/>
                <w:iCs/>
                <w:sz w:val="20"/>
                <w:szCs w:val="20"/>
              </w:rPr>
            </w:pPr>
            <w:r>
              <w:rPr>
                <w:b/>
                <w:bCs/>
                <w:i/>
                <w:iCs/>
                <w:sz w:val="20"/>
                <w:szCs w:val="20"/>
              </w:rPr>
              <w:t>Eco Logical Research Inc. - IMW Management, Coordination, Implementation and Synthesis</w:t>
            </w:r>
          </w:p>
        </w:tc>
      </w:tr>
      <w:tr w:rsidR="008A71C1" w:rsidTr="00327F7A">
        <w:trPr>
          <w:trHeight w:val="1830"/>
        </w:trPr>
        <w:tc>
          <w:tcPr>
            <w:tcW w:w="97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A71C1" w:rsidRPr="00355FCF" w:rsidRDefault="008A71C1" w:rsidP="00327F7A">
            <w:pPr>
              <w:rPr>
                <w:sz w:val="20"/>
                <w:szCs w:val="20"/>
              </w:rPr>
            </w:pPr>
            <w:r w:rsidRPr="00355FCF">
              <w:rPr>
                <w:sz w:val="20"/>
                <w:szCs w:val="20"/>
              </w:rPr>
              <w:t>7/1/2019</w:t>
            </w:r>
          </w:p>
        </w:tc>
        <w:tc>
          <w:tcPr>
            <w:tcW w:w="105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A71C1" w:rsidRPr="00355FCF" w:rsidRDefault="008A71C1" w:rsidP="00327F7A">
            <w:pPr>
              <w:rPr>
                <w:sz w:val="20"/>
                <w:szCs w:val="20"/>
              </w:rPr>
            </w:pPr>
            <w:r w:rsidRPr="00355FCF">
              <w:rPr>
                <w:sz w:val="20"/>
                <w:szCs w:val="20"/>
              </w:rPr>
              <w:t>6/30/2020</w:t>
            </w:r>
          </w:p>
        </w:tc>
        <w:tc>
          <w:tcPr>
            <w:tcW w:w="2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A71C1" w:rsidRPr="00355FCF" w:rsidRDefault="008A71C1" w:rsidP="00327F7A">
            <w:pPr>
              <w:rPr>
                <w:sz w:val="20"/>
                <w:szCs w:val="20"/>
              </w:rPr>
            </w:pPr>
            <w:r w:rsidRPr="00355FCF">
              <w:rPr>
                <w:sz w:val="20"/>
                <w:szCs w:val="20"/>
              </w:rPr>
              <w:t xml:space="preserve">Project Management, Data Management, Coordination, Data Analysis, and Reporting/                    Project </w:t>
            </w:r>
            <w:proofErr w:type="spellStart"/>
            <w:r w:rsidRPr="00355FCF">
              <w:rPr>
                <w:sz w:val="20"/>
                <w:szCs w:val="20"/>
              </w:rPr>
              <w:t>Manger</w:t>
            </w:r>
            <w:proofErr w:type="spellEnd"/>
            <w:r w:rsidRPr="00355FCF">
              <w:rPr>
                <w:sz w:val="20"/>
                <w:szCs w:val="20"/>
              </w:rPr>
              <w:t>; GIS, Statistical, and Database support staff</w:t>
            </w:r>
          </w:p>
        </w:tc>
        <w:tc>
          <w:tcPr>
            <w:tcW w:w="593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A71C1" w:rsidRPr="00355FCF" w:rsidRDefault="008A71C1" w:rsidP="00327F7A">
            <w:pPr>
              <w:rPr>
                <w:sz w:val="20"/>
                <w:szCs w:val="20"/>
              </w:rPr>
            </w:pPr>
            <w:r w:rsidRPr="00355FCF">
              <w:rPr>
                <w:sz w:val="20"/>
                <w:szCs w:val="20"/>
              </w:rPr>
              <w:t>Management of overall project goals including coordination, permitting, budget and work plan development and tracking; manage PIT tag, fish capture data, PTAGIS and array re</w:t>
            </w:r>
            <w:r>
              <w:rPr>
                <w:sz w:val="20"/>
                <w:szCs w:val="20"/>
              </w:rPr>
              <w:t>-</w:t>
            </w:r>
            <w:r w:rsidRPr="00355FCF">
              <w:rPr>
                <w:sz w:val="20"/>
                <w:szCs w:val="20"/>
              </w:rPr>
              <w:t xml:space="preserve">sight data; coordinate with </w:t>
            </w:r>
            <w:proofErr w:type="spellStart"/>
            <w:r w:rsidRPr="00355FCF">
              <w:rPr>
                <w:sz w:val="20"/>
                <w:szCs w:val="20"/>
              </w:rPr>
              <w:t>CHaMP</w:t>
            </w:r>
            <w:proofErr w:type="spellEnd"/>
            <w:r w:rsidRPr="00355FCF">
              <w:rPr>
                <w:sz w:val="20"/>
                <w:szCs w:val="20"/>
              </w:rPr>
              <w:t xml:space="preserve"> to upload and analyze habitat data; manage LiDAR and aerial photography; provide monthly progress and annual reports; manage temperature and discharge data; synthesis and interpret data and test effectiveness of restoration using statistical models. </w:t>
            </w:r>
          </w:p>
        </w:tc>
        <w:tc>
          <w:tcPr>
            <w:tcW w:w="953" w:type="dxa"/>
            <w:tcBorders>
              <w:top w:val="nil"/>
              <w:left w:val="nil"/>
              <w:bottom w:val="single" w:sz="4" w:space="0" w:color="auto"/>
              <w:right w:val="single" w:sz="4" w:space="0" w:color="auto"/>
            </w:tcBorders>
            <w:shd w:val="clear" w:color="auto" w:fill="auto"/>
            <w:tcMar>
              <w:top w:w="15" w:type="dxa"/>
              <w:left w:w="15" w:type="dxa"/>
              <w:bottom w:w="0" w:type="dxa"/>
              <w:right w:w="180" w:type="dxa"/>
            </w:tcMar>
            <w:vAlign w:val="center"/>
            <w:hideMark/>
          </w:tcPr>
          <w:p w:rsidR="008A71C1" w:rsidRPr="00355FCF" w:rsidRDefault="008A71C1" w:rsidP="00327F7A">
            <w:pPr>
              <w:ind w:firstLineChars="100" w:firstLine="200"/>
              <w:jc w:val="right"/>
              <w:rPr>
                <w:sz w:val="20"/>
                <w:szCs w:val="20"/>
              </w:rPr>
            </w:pPr>
            <w:r w:rsidRPr="00355FCF">
              <w:rPr>
                <w:sz w:val="20"/>
                <w:szCs w:val="20"/>
              </w:rPr>
              <w:t>100.00</w:t>
            </w:r>
          </w:p>
        </w:tc>
        <w:tc>
          <w:tcPr>
            <w:tcW w:w="57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A71C1" w:rsidRPr="00355FCF" w:rsidRDefault="008A71C1" w:rsidP="00327F7A">
            <w:pPr>
              <w:jc w:val="right"/>
              <w:rPr>
                <w:sz w:val="20"/>
                <w:szCs w:val="20"/>
              </w:rPr>
            </w:pPr>
            <w:r w:rsidRPr="00355FCF">
              <w:rPr>
                <w:sz w:val="20"/>
                <w:szCs w:val="20"/>
              </w:rPr>
              <w:t>hours</w:t>
            </w:r>
          </w:p>
        </w:tc>
        <w:tc>
          <w:tcPr>
            <w:tcW w:w="953" w:type="dxa"/>
            <w:tcBorders>
              <w:top w:val="nil"/>
              <w:left w:val="nil"/>
              <w:bottom w:val="single" w:sz="4" w:space="0" w:color="auto"/>
              <w:right w:val="single" w:sz="4" w:space="0" w:color="auto"/>
            </w:tcBorders>
            <w:shd w:val="clear" w:color="auto" w:fill="auto"/>
            <w:tcMar>
              <w:top w:w="15" w:type="dxa"/>
              <w:left w:w="15" w:type="dxa"/>
              <w:bottom w:w="0" w:type="dxa"/>
              <w:right w:w="180" w:type="dxa"/>
            </w:tcMar>
            <w:vAlign w:val="center"/>
            <w:hideMark/>
          </w:tcPr>
          <w:p w:rsidR="008A71C1" w:rsidRPr="00355FCF" w:rsidRDefault="008A71C1" w:rsidP="00327F7A">
            <w:pPr>
              <w:ind w:firstLineChars="100" w:firstLine="200"/>
              <w:jc w:val="right"/>
              <w:rPr>
                <w:sz w:val="20"/>
                <w:szCs w:val="20"/>
              </w:rPr>
            </w:pPr>
            <w:r w:rsidRPr="00355FCF">
              <w:rPr>
                <w:sz w:val="20"/>
                <w:szCs w:val="20"/>
              </w:rPr>
              <w:t>783.0</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A71C1" w:rsidRPr="00355FCF" w:rsidRDefault="008A71C1" w:rsidP="00327F7A">
            <w:pPr>
              <w:jc w:val="right"/>
              <w:rPr>
                <w:sz w:val="20"/>
                <w:szCs w:val="20"/>
              </w:rPr>
            </w:pPr>
            <w:r w:rsidRPr="00355FCF">
              <w:rPr>
                <w:sz w:val="20"/>
                <w:szCs w:val="20"/>
              </w:rPr>
              <w:t xml:space="preserve">     78,300.00 </w:t>
            </w:r>
          </w:p>
        </w:tc>
      </w:tr>
      <w:tr w:rsidR="008A71C1" w:rsidTr="00327F7A">
        <w:trPr>
          <w:trHeight w:val="696"/>
        </w:trPr>
        <w:tc>
          <w:tcPr>
            <w:tcW w:w="97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A71C1" w:rsidRPr="00355FCF" w:rsidRDefault="008A71C1" w:rsidP="00327F7A">
            <w:pPr>
              <w:rPr>
                <w:sz w:val="20"/>
                <w:szCs w:val="20"/>
              </w:rPr>
            </w:pPr>
            <w:r w:rsidRPr="00355FCF">
              <w:rPr>
                <w:sz w:val="20"/>
                <w:szCs w:val="20"/>
              </w:rPr>
              <w:t>7/1/2019</w:t>
            </w:r>
          </w:p>
        </w:tc>
        <w:tc>
          <w:tcPr>
            <w:tcW w:w="105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A71C1" w:rsidRPr="00355FCF" w:rsidRDefault="008A71C1" w:rsidP="00327F7A">
            <w:pPr>
              <w:rPr>
                <w:sz w:val="20"/>
                <w:szCs w:val="20"/>
              </w:rPr>
            </w:pPr>
            <w:r w:rsidRPr="00355FCF">
              <w:rPr>
                <w:sz w:val="20"/>
                <w:szCs w:val="20"/>
              </w:rPr>
              <w:t>6/30/2020</w:t>
            </w:r>
          </w:p>
        </w:tc>
        <w:tc>
          <w:tcPr>
            <w:tcW w:w="2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A71C1" w:rsidRPr="00355FCF" w:rsidRDefault="008A71C1" w:rsidP="00327F7A">
            <w:pPr>
              <w:rPr>
                <w:sz w:val="20"/>
                <w:szCs w:val="20"/>
              </w:rPr>
            </w:pPr>
            <w:r w:rsidRPr="00355FCF">
              <w:rPr>
                <w:sz w:val="20"/>
                <w:szCs w:val="20"/>
              </w:rPr>
              <w:t>Analyst</w:t>
            </w:r>
          </w:p>
        </w:tc>
        <w:tc>
          <w:tcPr>
            <w:tcW w:w="593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A71C1" w:rsidRPr="00355FCF" w:rsidRDefault="008A71C1" w:rsidP="00327F7A">
            <w:pPr>
              <w:rPr>
                <w:sz w:val="20"/>
                <w:szCs w:val="20"/>
              </w:rPr>
            </w:pPr>
            <w:r w:rsidRPr="00355FCF">
              <w:rPr>
                <w:sz w:val="20"/>
                <w:szCs w:val="20"/>
              </w:rPr>
              <w:t xml:space="preserve">Data analyst to analyze all </w:t>
            </w:r>
            <w:proofErr w:type="spellStart"/>
            <w:r w:rsidRPr="00355FCF">
              <w:rPr>
                <w:sz w:val="20"/>
                <w:szCs w:val="20"/>
              </w:rPr>
              <w:t>CHaMP</w:t>
            </w:r>
            <w:proofErr w:type="spellEnd"/>
            <w:r w:rsidRPr="00355FCF">
              <w:rPr>
                <w:sz w:val="20"/>
                <w:szCs w:val="20"/>
              </w:rPr>
              <w:t>, temperature, discharge, and fish data and to help develop models for testing effectiveness of restoration</w:t>
            </w:r>
          </w:p>
        </w:tc>
        <w:tc>
          <w:tcPr>
            <w:tcW w:w="953" w:type="dxa"/>
            <w:tcBorders>
              <w:top w:val="nil"/>
              <w:left w:val="nil"/>
              <w:bottom w:val="single" w:sz="4" w:space="0" w:color="auto"/>
              <w:right w:val="single" w:sz="4" w:space="0" w:color="auto"/>
            </w:tcBorders>
            <w:shd w:val="clear" w:color="auto" w:fill="auto"/>
            <w:tcMar>
              <w:top w:w="15" w:type="dxa"/>
              <w:left w:w="15" w:type="dxa"/>
              <w:bottom w:w="0" w:type="dxa"/>
              <w:right w:w="180" w:type="dxa"/>
            </w:tcMar>
            <w:vAlign w:val="center"/>
            <w:hideMark/>
          </w:tcPr>
          <w:p w:rsidR="008A71C1" w:rsidRPr="00355FCF" w:rsidRDefault="008A71C1" w:rsidP="00327F7A">
            <w:pPr>
              <w:ind w:firstLineChars="100" w:firstLine="200"/>
              <w:jc w:val="right"/>
              <w:rPr>
                <w:sz w:val="20"/>
                <w:szCs w:val="20"/>
              </w:rPr>
            </w:pPr>
            <w:r w:rsidRPr="00355FCF">
              <w:rPr>
                <w:sz w:val="20"/>
                <w:szCs w:val="20"/>
              </w:rPr>
              <w:t>72.73</w:t>
            </w:r>
          </w:p>
        </w:tc>
        <w:tc>
          <w:tcPr>
            <w:tcW w:w="57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A71C1" w:rsidRPr="00355FCF" w:rsidRDefault="008A71C1" w:rsidP="00327F7A">
            <w:pPr>
              <w:jc w:val="right"/>
              <w:rPr>
                <w:sz w:val="20"/>
                <w:szCs w:val="20"/>
              </w:rPr>
            </w:pPr>
            <w:r w:rsidRPr="00355FCF">
              <w:rPr>
                <w:sz w:val="20"/>
                <w:szCs w:val="20"/>
              </w:rPr>
              <w:t>hours</w:t>
            </w:r>
          </w:p>
        </w:tc>
        <w:tc>
          <w:tcPr>
            <w:tcW w:w="953" w:type="dxa"/>
            <w:tcBorders>
              <w:top w:val="nil"/>
              <w:left w:val="nil"/>
              <w:bottom w:val="single" w:sz="4" w:space="0" w:color="auto"/>
              <w:right w:val="single" w:sz="4" w:space="0" w:color="auto"/>
            </w:tcBorders>
            <w:shd w:val="clear" w:color="auto" w:fill="auto"/>
            <w:tcMar>
              <w:top w:w="15" w:type="dxa"/>
              <w:left w:w="15" w:type="dxa"/>
              <w:bottom w:w="0" w:type="dxa"/>
              <w:right w:w="180" w:type="dxa"/>
            </w:tcMar>
            <w:vAlign w:val="center"/>
            <w:hideMark/>
          </w:tcPr>
          <w:p w:rsidR="008A71C1" w:rsidRPr="00355FCF" w:rsidRDefault="008A71C1" w:rsidP="00327F7A">
            <w:pPr>
              <w:ind w:firstLineChars="100" w:firstLine="200"/>
              <w:jc w:val="right"/>
              <w:rPr>
                <w:sz w:val="20"/>
                <w:szCs w:val="20"/>
              </w:rPr>
            </w:pPr>
            <w:r w:rsidRPr="00355FCF">
              <w:rPr>
                <w:sz w:val="20"/>
                <w:szCs w:val="20"/>
              </w:rPr>
              <w:t>696.0</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A71C1" w:rsidRPr="00355FCF" w:rsidRDefault="008A71C1" w:rsidP="00327F7A">
            <w:pPr>
              <w:jc w:val="right"/>
              <w:rPr>
                <w:sz w:val="20"/>
                <w:szCs w:val="20"/>
              </w:rPr>
            </w:pPr>
            <w:r w:rsidRPr="00355FCF">
              <w:rPr>
                <w:sz w:val="20"/>
                <w:szCs w:val="20"/>
              </w:rPr>
              <w:t xml:space="preserve">     50,620.08 </w:t>
            </w:r>
          </w:p>
        </w:tc>
      </w:tr>
      <w:tr w:rsidR="008A71C1" w:rsidTr="00327F7A">
        <w:trPr>
          <w:trHeight w:val="900"/>
        </w:trPr>
        <w:tc>
          <w:tcPr>
            <w:tcW w:w="97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A71C1" w:rsidRPr="00355FCF" w:rsidRDefault="008A71C1" w:rsidP="00327F7A">
            <w:pPr>
              <w:rPr>
                <w:sz w:val="20"/>
                <w:szCs w:val="20"/>
              </w:rPr>
            </w:pPr>
            <w:r w:rsidRPr="00355FCF">
              <w:rPr>
                <w:sz w:val="20"/>
                <w:szCs w:val="20"/>
              </w:rPr>
              <w:t>7/1/2019</w:t>
            </w:r>
          </w:p>
        </w:tc>
        <w:tc>
          <w:tcPr>
            <w:tcW w:w="105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A71C1" w:rsidRPr="00355FCF" w:rsidRDefault="008A71C1" w:rsidP="00327F7A">
            <w:pPr>
              <w:rPr>
                <w:sz w:val="20"/>
                <w:szCs w:val="20"/>
              </w:rPr>
            </w:pPr>
            <w:r w:rsidRPr="00355FCF">
              <w:rPr>
                <w:sz w:val="20"/>
                <w:szCs w:val="20"/>
              </w:rPr>
              <w:t>6/30/2020</w:t>
            </w:r>
          </w:p>
        </w:tc>
        <w:tc>
          <w:tcPr>
            <w:tcW w:w="2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A71C1" w:rsidRPr="00355FCF" w:rsidRDefault="008A71C1" w:rsidP="00327F7A">
            <w:pPr>
              <w:rPr>
                <w:sz w:val="20"/>
                <w:szCs w:val="20"/>
              </w:rPr>
            </w:pPr>
            <w:r w:rsidRPr="00355FCF">
              <w:rPr>
                <w:sz w:val="20"/>
                <w:szCs w:val="20"/>
              </w:rPr>
              <w:t>Field Monitoring Lead (Biologist)</w:t>
            </w:r>
          </w:p>
        </w:tc>
        <w:tc>
          <w:tcPr>
            <w:tcW w:w="593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A71C1" w:rsidRPr="00355FCF" w:rsidRDefault="008A71C1" w:rsidP="00327F7A">
            <w:pPr>
              <w:rPr>
                <w:sz w:val="20"/>
                <w:szCs w:val="20"/>
              </w:rPr>
            </w:pPr>
            <w:r w:rsidRPr="00355FCF">
              <w:rPr>
                <w:sz w:val="20"/>
                <w:szCs w:val="20"/>
              </w:rPr>
              <w:t xml:space="preserve">supervise monitoring crew and collect fish and habitat data, maintain field databases, conduct mobile fish surveys in winter and spring </w:t>
            </w:r>
          </w:p>
        </w:tc>
        <w:tc>
          <w:tcPr>
            <w:tcW w:w="953" w:type="dxa"/>
            <w:tcBorders>
              <w:top w:val="nil"/>
              <w:left w:val="nil"/>
              <w:bottom w:val="single" w:sz="4" w:space="0" w:color="auto"/>
              <w:right w:val="single" w:sz="4" w:space="0" w:color="auto"/>
            </w:tcBorders>
            <w:shd w:val="clear" w:color="auto" w:fill="auto"/>
            <w:tcMar>
              <w:top w:w="15" w:type="dxa"/>
              <w:left w:w="15" w:type="dxa"/>
              <w:bottom w:w="0" w:type="dxa"/>
              <w:right w:w="180" w:type="dxa"/>
            </w:tcMar>
            <w:vAlign w:val="center"/>
            <w:hideMark/>
          </w:tcPr>
          <w:p w:rsidR="008A71C1" w:rsidRPr="00355FCF" w:rsidRDefault="008A71C1" w:rsidP="00327F7A">
            <w:pPr>
              <w:ind w:firstLineChars="100" w:firstLine="200"/>
              <w:jc w:val="right"/>
              <w:rPr>
                <w:sz w:val="20"/>
                <w:szCs w:val="20"/>
              </w:rPr>
            </w:pPr>
            <w:r w:rsidRPr="00355FCF">
              <w:rPr>
                <w:sz w:val="20"/>
                <w:szCs w:val="20"/>
              </w:rPr>
              <w:t>45.46</w:t>
            </w:r>
          </w:p>
        </w:tc>
        <w:tc>
          <w:tcPr>
            <w:tcW w:w="57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A71C1" w:rsidRPr="00355FCF" w:rsidRDefault="008A71C1" w:rsidP="00327F7A">
            <w:pPr>
              <w:jc w:val="right"/>
              <w:rPr>
                <w:sz w:val="20"/>
                <w:szCs w:val="20"/>
              </w:rPr>
            </w:pPr>
            <w:r w:rsidRPr="00355FCF">
              <w:rPr>
                <w:sz w:val="20"/>
                <w:szCs w:val="20"/>
              </w:rPr>
              <w:t>hours</w:t>
            </w:r>
          </w:p>
        </w:tc>
        <w:tc>
          <w:tcPr>
            <w:tcW w:w="953" w:type="dxa"/>
            <w:tcBorders>
              <w:top w:val="nil"/>
              <w:left w:val="nil"/>
              <w:bottom w:val="single" w:sz="4" w:space="0" w:color="auto"/>
              <w:right w:val="single" w:sz="4" w:space="0" w:color="auto"/>
            </w:tcBorders>
            <w:shd w:val="clear" w:color="auto" w:fill="auto"/>
            <w:tcMar>
              <w:top w:w="15" w:type="dxa"/>
              <w:left w:w="15" w:type="dxa"/>
              <w:bottom w:w="0" w:type="dxa"/>
              <w:right w:w="180" w:type="dxa"/>
            </w:tcMar>
            <w:vAlign w:val="center"/>
            <w:hideMark/>
          </w:tcPr>
          <w:p w:rsidR="008A71C1" w:rsidRPr="00355FCF" w:rsidRDefault="008A71C1" w:rsidP="00327F7A">
            <w:pPr>
              <w:ind w:firstLineChars="100" w:firstLine="200"/>
              <w:jc w:val="right"/>
              <w:rPr>
                <w:sz w:val="20"/>
                <w:szCs w:val="20"/>
              </w:rPr>
            </w:pPr>
            <w:r w:rsidRPr="00355FCF">
              <w:rPr>
                <w:sz w:val="20"/>
                <w:szCs w:val="20"/>
              </w:rPr>
              <w:t>1044.0</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A71C1" w:rsidRPr="00355FCF" w:rsidRDefault="008A71C1" w:rsidP="00327F7A">
            <w:pPr>
              <w:jc w:val="right"/>
              <w:rPr>
                <w:sz w:val="20"/>
                <w:szCs w:val="20"/>
              </w:rPr>
            </w:pPr>
            <w:r w:rsidRPr="00355FCF">
              <w:rPr>
                <w:sz w:val="20"/>
                <w:szCs w:val="20"/>
              </w:rPr>
              <w:t xml:space="preserve">     47,460.24 </w:t>
            </w:r>
          </w:p>
        </w:tc>
      </w:tr>
      <w:tr w:rsidR="008A71C1" w:rsidTr="00327F7A">
        <w:trPr>
          <w:trHeight w:val="1065"/>
        </w:trPr>
        <w:tc>
          <w:tcPr>
            <w:tcW w:w="97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A71C1" w:rsidRPr="00355FCF" w:rsidRDefault="008A71C1" w:rsidP="00327F7A">
            <w:pPr>
              <w:rPr>
                <w:sz w:val="20"/>
                <w:szCs w:val="20"/>
              </w:rPr>
            </w:pPr>
            <w:r w:rsidRPr="00355FCF">
              <w:rPr>
                <w:sz w:val="20"/>
                <w:szCs w:val="20"/>
              </w:rPr>
              <w:t>7/1/2019</w:t>
            </w:r>
          </w:p>
        </w:tc>
        <w:tc>
          <w:tcPr>
            <w:tcW w:w="105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A71C1" w:rsidRPr="00355FCF" w:rsidRDefault="008A71C1" w:rsidP="00327F7A">
            <w:pPr>
              <w:rPr>
                <w:sz w:val="20"/>
                <w:szCs w:val="20"/>
              </w:rPr>
            </w:pPr>
            <w:r w:rsidRPr="00355FCF">
              <w:rPr>
                <w:sz w:val="20"/>
                <w:szCs w:val="20"/>
              </w:rPr>
              <w:t>6/30/2020</w:t>
            </w:r>
          </w:p>
        </w:tc>
        <w:tc>
          <w:tcPr>
            <w:tcW w:w="2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A71C1" w:rsidRPr="00355FCF" w:rsidRDefault="008A71C1" w:rsidP="00327F7A">
            <w:pPr>
              <w:rPr>
                <w:sz w:val="20"/>
                <w:szCs w:val="20"/>
              </w:rPr>
            </w:pPr>
            <w:r w:rsidRPr="00355FCF">
              <w:rPr>
                <w:sz w:val="20"/>
                <w:szCs w:val="20"/>
              </w:rPr>
              <w:t xml:space="preserve">Field Monitoring Crew (4 technicians) </w:t>
            </w:r>
          </w:p>
        </w:tc>
        <w:tc>
          <w:tcPr>
            <w:tcW w:w="593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A71C1" w:rsidRPr="00355FCF" w:rsidRDefault="008A71C1" w:rsidP="00327F7A">
            <w:pPr>
              <w:rPr>
                <w:sz w:val="20"/>
                <w:szCs w:val="20"/>
              </w:rPr>
            </w:pPr>
            <w:r w:rsidRPr="00355FCF">
              <w:rPr>
                <w:sz w:val="20"/>
                <w:szCs w:val="20"/>
              </w:rPr>
              <w:t>Monitor permanent sites for fish abundance, growth, survival, and movement, and habitat condition (</w:t>
            </w:r>
            <w:proofErr w:type="spellStart"/>
            <w:r w:rsidRPr="00355FCF">
              <w:rPr>
                <w:sz w:val="20"/>
                <w:szCs w:val="20"/>
              </w:rPr>
              <w:t>CHaMP</w:t>
            </w:r>
            <w:proofErr w:type="spellEnd"/>
            <w:r w:rsidRPr="00355FCF">
              <w:rPr>
                <w:sz w:val="20"/>
                <w:szCs w:val="20"/>
              </w:rPr>
              <w:t xml:space="preserve"> habitat protocol, photo documentation, rapid habitat surveys), temperature probes, water level gauges; (5 field techs and 1 biologist)</w:t>
            </w:r>
          </w:p>
        </w:tc>
        <w:tc>
          <w:tcPr>
            <w:tcW w:w="953" w:type="dxa"/>
            <w:tcBorders>
              <w:top w:val="nil"/>
              <w:left w:val="nil"/>
              <w:bottom w:val="single" w:sz="4" w:space="0" w:color="auto"/>
              <w:right w:val="single" w:sz="4" w:space="0" w:color="auto"/>
            </w:tcBorders>
            <w:shd w:val="clear" w:color="auto" w:fill="auto"/>
            <w:tcMar>
              <w:top w:w="15" w:type="dxa"/>
              <w:left w:w="15" w:type="dxa"/>
              <w:bottom w:w="0" w:type="dxa"/>
              <w:right w:w="180" w:type="dxa"/>
            </w:tcMar>
            <w:vAlign w:val="center"/>
            <w:hideMark/>
          </w:tcPr>
          <w:p w:rsidR="008A71C1" w:rsidRPr="00355FCF" w:rsidRDefault="008A71C1" w:rsidP="00327F7A">
            <w:pPr>
              <w:ind w:firstLineChars="100" w:firstLine="200"/>
              <w:jc w:val="right"/>
              <w:rPr>
                <w:sz w:val="20"/>
                <w:szCs w:val="20"/>
              </w:rPr>
            </w:pPr>
            <w:r w:rsidRPr="00355FCF">
              <w:rPr>
                <w:sz w:val="20"/>
                <w:szCs w:val="20"/>
              </w:rPr>
              <w:t>30.30</w:t>
            </w:r>
          </w:p>
        </w:tc>
        <w:tc>
          <w:tcPr>
            <w:tcW w:w="57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A71C1" w:rsidRPr="00355FCF" w:rsidRDefault="008A71C1" w:rsidP="00327F7A">
            <w:pPr>
              <w:jc w:val="right"/>
              <w:rPr>
                <w:sz w:val="20"/>
                <w:szCs w:val="20"/>
              </w:rPr>
            </w:pPr>
            <w:r w:rsidRPr="00355FCF">
              <w:rPr>
                <w:sz w:val="20"/>
                <w:szCs w:val="20"/>
              </w:rPr>
              <w:t>hours</w:t>
            </w:r>
          </w:p>
        </w:tc>
        <w:tc>
          <w:tcPr>
            <w:tcW w:w="953" w:type="dxa"/>
            <w:tcBorders>
              <w:top w:val="nil"/>
              <w:left w:val="nil"/>
              <w:bottom w:val="single" w:sz="4" w:space="0" w:color="auto"/>
              <w:right w:val="single" w:sz="4" w:space="0" w:color="auto"/>
            </w:tcBorders>
            <w:shd w:val="clear" w:color="auto" w:fill="auto"/>
            <w:tcMar>
              <w:top w:w="15" w:type="dxa"/>
              <w:left w:w="15" w:type="dxa"/>
              <w:bottom w:w="0" w:type="dxa"/>
              <w:right w:w="180" w:type="dxa"/>
            </w:tcMar>
            <w:vAlign w:val="center"/>
            <w:hideMark/>
          </w:tcPr>
          <w:p w:rsidR="008A71C1" w:rsidRPr="00355FCF" w:rsidRDefault="008A71C1" w:rsidP="00327F7A">
            <w:pPr>
              <w:ind w:firstLineChars="100" w:firstLine="200"/>
              <w:jc w:val="right"/>
              <w:rPr>
                <w:sz w:val="20"/>
                <w:szCs w:val="20"/>
              </w:rPr>
            </w:pPr>
            <w:r w:rsidRPr="00355FCF">
              <w:rPr>
                <w:sz w:val="20"/>
                <w:szCs w:val="20"/>
              </w:rPr>
              <w:t>1044.0</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A71C1" w:rsidRPr="00355FCF" w:rsidRDefault="008A71C1" w:rsidP="00327F7A">
            <w:pPr>
              <w:jc w:val="right"/>
              <w:rPr>
                <w:sz w:val="20"/>
                <w:szCs w:val="20"/>
              </w:rPr>
            </w:pPr>
            <w:r w:rsidRPr="00355FCF">
              <w:rPr>
                <w:sz w:val="20"/>
                <w:szCs w:val="20"/>
              </w:rPr>
              <w:t xml:space="preserve">     31,633.20 </w:t>
            </w:r>
          </w:p>
        </w:tc>
      </w:tr>
      <w:tr w:rsidR="008A71C1" w:rsidTr="00327F7A">
        <w:trPr>
          <w:trHeight w:val="900"/>
        </w:trPr>
        <w:tc>
          <w:tcPr>
            <w:tcW w:w="97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A71C1" w:rsidRPr="00355FCF" w:rsidRDefault="008A71C1" w:rsidP="00327F7A">
            <w:pPr>
              <w:rPr>
                <w:sz w:val="20"/>
                <w:szCs w:val="20"/>
              </w:rPr>
            </w:pPr>
            <w:r w:rsidRPr="00355FCF">
              <w:rPr>
                <w:sz w:val="20"/>
                <w:szCs w:val="20"/>
              </w:rPr>
              <w:t>7/1/2019</w:t>
            </w:r>
          </w:p>
        </w:tc>
        <w:tc>
          <w:tcPr>
            <w:tcW w:w="105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A71C1" w:rsidRPr="00355FCF" w:rsidRDefault="008A71C1" w:rsidP="00327F7A">
            <w:pPr>
              <w:rPr>
                <w:sz w:val="20"/>
                <w:szCs w:val="20"/>
              </w:rPr>
            </w:pPr>
            <w:r w:rsidRPr="00355FCF">
              <w:rPr>
                <w:sz w:val="20"/>
                <w:szCs w:val="20"/>
              </w:rPr>
              <w:t>6/30/2020</w:t>
            </w:r>
          </w:p>
        </w:tc>
        <w:tc>
          <w:tcPr>
            <w:tcW w:w="2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A71C1" w:rsidRPr="00355FCF" w:rsidRDefault="008A71C1" w:rsidP="00327F7A">
            <w:pPr>
              <w:rPr>
                <w:sz w:val="20"/>
                <w:szCs w:val="20"/>
              </w:rPr>
            </w:pPr>
            <w:r w:rsidRPr="00355FCF">
              <w:rPr>
                <w:sz w:val="20"/>
                <w:szCs w:val="20"/>
              </w:rPr>
              <w:t>Accommodation and Travel</w:t>
            </w:r>
          </w:p>
        </w:tc>
        <w:tc>
          <w:tcPr>
            <w:tcW w:w="593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A71C1" w:rsidRPr="00355FCF" w:rsidRDefault="008A71C1" w:rsidP="00327F7A">
            <w:pPr>
              <w:rPr>
                <w:sz w:val="20"/>
                <w:szCs w:val="20"/>
              </w:rPr>
            </w:pPr>
            <w:r w:rsidRPr="00355FCF">
              <w:rPr>
                <w:sz w:val="20"/>
                <w:szCs w:val="20"/>
              </w:rPr>
              <w:t>Accommodation (6@1000/month), flights (4@250), meals (300@10/day),  vehicle expenses (8@1000/month), ATVs (6@500/month)</w:t>
            </w:r>
          </w:p>
        </w:tc>
        <w:tc>
          <w:tcPr>
            <w:tcW w:w="953" w:type="dxa"/>
            <w:tcBorders>
              <w:top w:val="nil"/>
              <w:left w:val="nil"/>
              <w:bottom w:val="single" w:sz="4" w:space="0" w:color="auto"/>
              <w:right w:val="single" w:sz="4" w:space="0" w:color="auto"/>
            </w:tcBorders>
            <w:shd w:val="clear" w:color="auto" w:fill="auto"/>
            <w:tcMar>
              <w:top w:w="15" w:type="dxa"/>
              <w:left w:w="15" w:type="dxa"/>
              <w:bottom w:w="0" w:type="dxa"/>
              <w:right w:w="180" w:type="dxa"/>
            </w:tcMar>
            <w:vAlign w:val="center"/>
            <w:hideMark/>
          </w:tcPr>
          <w:p w:rsidR="008A71C1" w:rsidRPr="00355FCF" w:rsidRDefault="008A71C1" w:rsidP="00327F7A">
            <w:pPr>
              <w:ind w:firstLineChars="100" w:firstLine="200"/>
              <w:jc w:val="right"/>
              <w:rPr>
                <w:sz w:val="20"/>
                <w:szCs w:val="20"/>
              </w:rPr>
            </w:pPr>
            <w:r w:rsidRPr="00355FCF">
              <w:rPr>
                <w:sz w:val="20"/>
                <w:szCs w:val="20"/>
              </w:rPr>
              <w:t>-</w:t>
            </w:r>
          </w:p>
        </w:tc>
        <w:tc>
          <w:tcPr>
            <w:tcW w:w="57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A71C1" w:rsidRPr="00355FCF" w:rsidRDefault="008A71C1" w:rsidP="00327F7A">
            <w:pPr>
              <w:jc w:val="right"/>
              <w:rPr>
                <w:sz w:val="20"/>
                <w:szCs w:val="20"/>
              </w:rPr>
            </w:pPr>
            <w:r w:rsidRPr="00355FCF">
              <w:rPr>
                <w:sz w:val="20"/>
                <w:szCs w:val="20"/>
              </w:rPr>
              <w:t>-</w:t>
            </w:r>
          </w:p>
        </w:tc>
        <w:tc>
          <w:tcPr>
            <w:tcW w:w="953" w:type="dxa"/>
            <w:tcBorders>
              <w:top w:val="nil"/>
              <w:left w:val="nil"/>
              <w:bottom w:val="single" w:sz="4" w:space="0" w:color="auto"/>
              <w:right w:val="single" w:sz="4" w:space="0" w:color="auto"/>
            </w:tcBorders>
            <w:shd w:val="clear" w:color="auto" w:fill="auto"/>
            <w:tcMar>
              <w:top w:w="15" w:type="dxa"/>
              <w:left w:w="15" w:type="dxa"/>
              <w:bottom w:w="0" w:type="dxa"/>
              <w:right w:w="180" w:type="dxa"/>
            </w:tcMar>
            <w:vAlign w:val="center"/>
            <w:hideMark/>
          </w:tcPr>
          <w:p w:rsidR="008A71C1" w:rsidRPr="00355FCF" w:rsidRDefault="008A71C1" w:rsidP="00327F7A">
            <w:pPr>
              <w:ind w:firstLineChars="100" w:firstLine="200"/>
              <w:jc w:val="right"/>
              <w:rPr>
                <w:sz w:val="20"/>
                <w:szCs w:val="20"/>
              </w:rPr>
            </w:pPr>
            <w:r w:rsidRPr="00355FCF">
              <w:rPr>
                <w:sz w:val="20"/>
                <w:szCs w:val="20"/>
              </w:rPr>
              <w:t>1.0</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A71C1" w:rsidRPr="00355FCF" w:rsidRDefault="008A71C1" w:rsidP="00327F7A">
            <w:pPr>
              <w:jc w:val="right"/>
              <w:rPr>
                <w:sz w:val="20"/>
                <w:szCs w:val="20"/>
              </w:rPr>
            </w:pPr>
            <w:r w:rsidRPr="00355FCF">
              <w:rPr>
                <w:sz w:val="20"/>
                <w:szCs w:val="20"/>
              </w:rPr>
              <w:t xml:space="preserve">     21,000.00 </w:t>
            </w:r>
          </w:p>
        </w:tc>
      </w:tr>
      <w:tr w:rsidR="008A71C1" w:rsidTr="00327F7A">
        <w:trPr>
          <w:trHeight w:val="678"/>
        </w:trPr>
        <w:tc>
          <w:tcPr>
            <w:tcW w:w="97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A71C1" w:rsidRPr="00355FCF" w:rsidRDefault="008A71C1" w:rsidP="00327F7A">
            <w:pPr>
              <w:rPr>
                <w:sz w:val="20"/>
                <w:szCs w:val="20"/>
              </w:rPr>
            </w:pPr>
            <w:r w:rsidRPr="00355FCF">
              <w:rPr>
                <w:sz w:val="20"/>
                <w:szCs w:val="20"/>
              </w:rPr>
              <w:t>7/1/2019</w:t>
            </w:r>
          </w:p>
        </w:tc>
        <w:tc>
          <w:tcPr>
            <w:tcW w:w="105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A71C1" w:rsidRPr="00355FCF" w:rsidRDefault="008A71C1" w:rsidP="00327F7A">
            <w:pPr>
              <w:rPr>
                <w:sz w:val="20"/>
                <w:szCs w:val="20"/>
              </w:rPr>
            </w:pPr>
            <w:r w:rsidRPr="00355FCF">
              <w:rPr>
                <w:sz w:val="20"/>
                <w:szCs w:val="20"/>
              </w:rPr>
              <w:t>6/30/2020</w:t>
            </w:r>
          </w:p>
        </w:tc>
        <w:tc>
          <w:tcPr>
            <w:tcW w:w="2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A71C1" w:rsidRPr="00355FCF" w:rsidRDefault="008A71C1" w:rsidP="00327F7A">
            <w:pPr>
              <w:rPr>
                <w:sz w:val="20"/>
                <w:szCs w:val="20"/>
              </w:rPr>
            </w:pPr>
            <w:r w:rsidRPr="00355FCF">
              <w:rPr>
                <w:sz w:val="20"/>
                <w:szCs w:val="20"/>
              </w:rPr>
              <w:t xml:space="preserve">Acquire, Purchase, Maintain equipment and supplies </w:t>
            </w:r>
          </w:p>
        </w:tc>
        <w:tc>
          <w:tcPr>
            <w:tcW w:w="593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A71C1" w:rsidRPr="00355FCF" w:rsidRDefault="008A71C1" w:rsidP="00327F7A">
            <w:pPr>
              <w:rPr>
                <w:sz w:val="20"/>
                <w:szCs w:val="20"/>
              </w:rPr>
            </w:pPr>
            <w:r w:rsidRPr="00355FCF">
              <w:rPr>
                <w:sz w:val="20"/>
                <w:szCs w:val="20"/>
              </w:rPr>
              <w:t>Purchase or rent equipment to conduct surveys (PIT tags and supplies, electro</w:t>
            </w:r>
            <w:r>
              <w:rPr>
                <w:sz w:val="20"/>
                <w:szCs w:val="20"/>
              </w:rPr>
              <w:t>-</w:t>
            </w:r>
            <w:r w:rsidRPr="00355FCF">
              <w:rPr>
                <w:sz w:val="20"/>
                <w:szCs w:val="20"/>
              </w:rPr>
              <w:t>shockers, seine nets, waders, total stations, map</w:t>
            </w:r>
            <w:r>
              <w:rPr>
                <w:sz w:val="20"/>
                <w:szCs w:val="20"/>
              </w:rPr>
              <w:t>-</w:t>
            </w:r>
            <w:r w:rsidRPr="00355FCF">
              <w:rPr>
                <w:sz w:val="20"/>
                <w:szCs w:val="20"/>
              </w:rPr>
              <w:t>grade GPS, data loggers, mobile PIT tag antennas, office supplies)</w:t>
            </w:r>
          </w:p>
        </w:tc>
        <w:tc>
          <w:tcPr>
            <w:tcW w:w="953" w:type="dxa"/>
            <w:tcBorders>
              <w:top w:val="nil"/>
              <w:left w:val="nil"/>
              <w:bottom w:val="single" w:sz="4" w:space="0" w:color="auto"/>
              <w:right w:val="single" w:sz="4" w:space="0" w:color="auto"/>
            </w:tcBorders>
            <w:shd w:val="clear" w:color="auto" w:fill="auto"/>
            <w:tcMar>
              <w:top w:w="15" w:type="dxa"/>
              <w:left w:w="15" w:type="dxa"/>
              <w:bottom w:w="0" w:type="dxa"/>
              <w:right w:w="180" w:type="dxa"/>
            </w:tcMar>
            <w:vAlign w:val="center"/>
            <w:hideMark/>
          </w:tcPr>
          <w:p w:rsidR="008A71C1" w:rsidRPr="00355FCF" w:rsidRDefault="008A71C1" w:rsidP="00327F7A">
            <w:pPr>
              <w:ind w:firstLineChars="100" w:firstLine="200"/>
              <w:jc w:val="right"/>
              <w:rPr>
                <w:sz w:val="20"/>
                <w:szCs w:val="20"/>
              </w:rPr>
            </w:pPr>
            <w:r w:rsidRPr="00355FCF">
              <w:rPr>
                <w:sz w:val="20"/>
                <w:szCs w:val="20"/>
              </w:rPr>
              <w:t>-</w:t>
            </w:r>
          </w:p>
        </w:tc>
        <w:tc>
          <w:tcPr>
            <w:tcW w:w="57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A71C1" w:rsidRPr="00355FCF" w:rsidRDefault="008A71C1" w:rsidP="00327F7A">
            <w:pPr>
              <w:jc w:val="right"/>
              <w:rPr>
                <w:sz w:val="20"/>
                <w:szCs w:val="20"/>
              </w:rPr>
            </w:pPr>
            <w:r w:rsidRPr="00355FCF">
              <w:rPr>
                <w:sz w:val="20"/>
                <w:szCs w:val="20"/>
              </w:rPr>
              <w:t>-</w:t>
            </w:r>
          </w:p>
        </w:tc>
        <w:tc>
          <w:tcPr>
            <w:tcW w:w="953" w:type="dxa"/>
            <w:tcBorders>
              <w:top w:val="nil"/>
              <w:left w:val="nil"/>
              <w:bottom w:val="single" w:sz="4" w:space="0" w:color="auto"/>
              <w:right w:val="single" w:sz="4" w:space="0" w:color="auto"/>
            </w:tcBorders>
            <w:shd w:val="clear" w:color="auto" w:fill="auto"/>
            <w:tcMar>
              <w:top w:w="15" w:type="dxa"/>
              <w:left w:w="15" w:type="dxa"/>
              <w:bottom w:w="0" w:type="dxa"/>
              <w:right w:w="180" w:type="dxa"/>
            </w:tcMar>
            <w:vAlign w:val="center"/>
            <w:hideMark/>
          </w:tcPr>
          <w:p w:rsidR="008A71C1" w:rsidRPr="00355FCF" w:rsidRDefault="008A71C1" w:rsidP="00327F7A">
            <w:pPr>
              <w:ind w:firstLineChars="100" w:firstLine="200"/>
              <w:jc w:val="right"/>
              <w:rPr>
                <w:sz w:val="20"/>
                <w:szCs w:val="20"/>
              </w:rPr>
            </w:pPr>
            <w:r w:rsidRPr="00355FCF">
              <w:rPr>
                <w:sz w:val="20"/>
                <w:szCs w:val="20"/>
              </w:rPr>
              <w:t>1.0</w:t>
            </w:r>
          </w:p>
        </w:tc>
        <w:tc>
          <w:tcPr>
            <w:tcW w:w="12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A71C1" w:rsidRPr="00355FCF" w:rsidRDefault="008A71C1" w:rsidP="00327F7A">
            <w:pPr>
              <w:jc w:val="right"/>
              <w:rPr>
                <w:sz w:val="20"/>
                <w:szCs w:val="20"/>
              </w:rPr>
            </w:pPr>
            <w:r w:rsidRPr="00355FCF">
              <w:rPr>
                <w:sz w:val="20"/>
                <w:szCs w:val="20"/>
              </w:rPr>
              <w:t xml:space="preserve">     15,000.00 </w:t>
            </w:r>
          </w:p>
        </w:tc>
      </w:tr>
    </w:tbl>
    <w:p w:rsidR="008A71C1" w:rsidRDefault="008A71C1" w:rsidP="008A71C1">
      <w:pPr>
        <w:rPr>
          <w:sz w:val="20"/>
        </w:rPr>
      </w:pPr>
      <w:r>
        <w:rPr>
          <w:sz w:val="20"/>
        </w:rPr>
        <w:t xml:space="preserve"> </w:t>
      </w:r>
    </w:p>
    <w:tbl>
      <w:tblPr>
        <w:tblW w:w="14120" w:type="dxa"/>
        <w:tblCellMar>
          <w:left w:w="0" w:type="dxa"/>
          <w:right w:w="0" w:type="dxa"/>
        </w:tblCellMar>
        <w:tblLook w:val="04A0" w:firstRow="1" w:lastRow="0" w:firstColumn="1" w:lastColumn="0" w:noHBand="0" w:noVBand="1"/>
      </w:tblPr>
      <w:tblGrid>
        <w:gridCol w:w="12028"/>
        <w:gridCol w:w="117"/>
        <w:gridCol w:w="117"/>
        <w:gridCol w:w="117"/>
        <w:gridCol w:w="1741"/>
      </w:tblGrid>
      <w:tr w:rsidR="008A71C1" w:rsidRPr="00355FCF" w:rsidTr="00327F7A">
        <w:trPr>
          <w:trHeight w:val="330"/>
        </w:trPr>
        <w:tc>
          <w:tcPr>
            <w:tcW w:w="0" w:type="auto"/>
            <w:tcBorders>
              <w:top w:val="single" w:sz="4" w:space="0" w:color="auto"/>
              <w:left w:val="single" w:sz="4" w:space="0" w:color="auto"/>
              <w:bottom w:val="double" w:sz="6" w:space="0" w:color="auto"/>
              <w:right w:val="nil"/>
            </w:tcBorders>
            <w:shd w:val="clear" w:color="000000" w:fill="F2F2F2"/>
            <w:noWrap/>
            <w:tcMar>
              <w:top w:w="15" w:type="dxa"/>
              <w:left w:w="15" w:type="dxa"/>
              <w:bottom w:w="0" w:type="dxa"/>
              <w:right w:w="15" w:type="dxa"/>
            </w:tcMar>
            <w:vAlign w:val="center"/>
            <w:hideMark/>
          </w:tcPr>
          <w:p w:rsidR="008A71C1" w:rsidRPr="002F18C1" w:rsidRDefault="008A71C1" w:rsidP="00327F7A">
            <w:pPr>
              <w:rPr>
                <w:b/>
                <w:bCs/>
                <w:color w:val="000000"/>
              </w:rPr>
            </w:pPr>
            <w:r w:rsidRPr="002F18C1">
              <w:rPr>
                <w:b/>
                <w:bCs/>
                <w:color w:val="000000"/>
              </w:rPr>
              <w:t>subtotal – EcoLogical Research Wages, Overhead, Fringe, Equipment, Supplies, and Travel</w:t>
            </w:r>
          </w:p>
        </w:tc>
        <w:tc>
          <w:tcPr>
            <w:tcW w:w="0" w:type="auto"/>
            <w:tcBorders>
              <w:top w:val="single" w:sz="4" w:space="0" w:color="auto"/>
              <w:left w:val="nil"/>
              <w:bottom w:val="double" w:sz="6" w:space="0" w:color="auto"/>
              <w:right w:val="nil"/>
            </w:tcBorders>
            <w:shd w:val="clear" w:color="000000" w:fill="F2F2F2"/>
            <w:noWrap/>
            <w:tcMar>
              <w:top w:w="15" w:type="dxa"/>
              <w:left w:w="15" w:type="dxa"/>
              <w:bottom w:w="0" w:type="dxa"/>
              <w:right w:w="15" w:type="dxa"/>
            </w:tcMar>
            <w:vAlign w:val="center"/>
            <w:hideMark/>
          </w:tcPr>
          <w:p w:rsidR="008A71C1" w:rsidRPr="002F18C1" w:rsidRDefault="008A71C1" w:rsidP="00327F7A">
            <w:pPr>
              <w:rPr>
                <w:b/>
                <w:bCs/>
                <w:color w:val="000000"/>
              </w:rPr>
            </w:pPr>
            <w:r w:rsidRPr="002F18C1">
              <w:rPr>
                <w:b/>
                <w:bCs/>
                <w:color w:val="000000"/>
              </w:rPr>
              <w:t> </w:t>
            </w:r>
          </w:p>
        </w:tc>
        <w:tc>
          <w:tcPr>
            <w:tcW w:w="0" w:type="auto"/>
            <w:tcBorders>
              <w:top w:val="single" w:sz="4" w:space="0" w:color="auto"/>
              <w:left w:val="nil"/>
              <w:bottom w:val="double" w:sz="6" w:space="0" w:color="auto"/>
              <w:right w:val="nil"/>
            </w:tcBorders>
            <w:shd w:val="clear" w:color="000000" w:fill="F2F2F2"/>
            <w:noWrap/>
            <w:tcMar>
              <w:top w:w="15" w:type="dxa"/>
              <w:left w:w="15" w:type="dxa"/>
              <w:bottom w:w="0" w:type="dxa"/>
              <w:right w:w="15" w:type="dxa"/>
            </w:tcMar>
            <w:vAlign w:val="center"/>
            <w:hideMark/>
          </w:tcPr>
          <w:p w:rsidR="008A71C1" w:rsidRPr="002F18C1" w:rsidRDefault="008A71C1" w:rsidP="00327F7A">
            <w:pPr>
              <w:rPr>
                <w:b/>
                <w:bCs/>
                <w:color w:val="000000"/>
              </w:rPr>
            </w:pPr>
            <w:r w:rsidRPr="002F18C1">
              <w:rPr>
                <w:b/>
                <w:bCs/>
                <w:color w:val="000000"/>
              </w:rPr>
              <w:t> </w:t>
            </w:r>
          </w:p>
        </w:tc>
        <w:tc>
          <w:tcPr>
            <w:tcW w:w="0" w:type="auto"/>
            <w:tcBorders>
              <w:top w:val="single" w:sz="4" w:space="0" w:color="auto"/>
              <w:left w:val="nil"/>
              <w:bottom w:val="double" w:sz="6" w:space="0" w:color="auto"/>
              <w:right w:val="nil"/>
            </w:tcBorders>
            <w:shd w:val="clear" w:color="000000" w:fill="F2F2F2"/>
            <w:noWrap/>
            <w:tcMar>
              <w:top w:w="15" w:type="dxa"/>
              <w:left w:w="15" w:type="dxa"/>
              <w:bottom w:w="0" w:type="dxa"/>
              <w:right w:w="15" w:type="dxa"/>
            </w:tcMar>
            <w:vAlign w:val="center"/>
            <w:hideMark/>
          </w:tcPr>
          <w:p w:rsidR="008A71C1" w:rsidRPr="002F18C1" w:rsidRDefault="008A71C1" w:rsidP="00327F7A">
            <w:pPr>
              <w:rPr>
                <w:b/>
                <w:bCs/>
                <w:color w:val="000000"/>
              </w:rPr>
            </w:pPr>
            <w:r w:rsidRPr="002F18C1">
              <w:rPr>
                <w:b/>
                <w:bCs/>
                <w:color w:val="000000"/>
              </w:rPr>
              <w:t> </w:t>
            </w:r>
          </w:p>
        </w:tc>
        <w:tc>
          <w:tcPr>
            <w:tcW w:w="0" w:type="auto"/>
            <w:tcBorders>
              <w:top w:val="nil"/>
              <w:left w:val="nil"/>
              <w:bottom w:val="double" w:sz="6" w:space="0" w:color="auto"/>
              <w:right w:val="single" w:sz="4" w:space="0" w:color="auto"/>
            </w:tcBorders>
            <w:shd w:val="clear" w:color="000000" w:fill="F2F2F2"/>
            <w:noWrap/>
            <w:tcMar>
              <w:top w:w="15" w:type="dxa"/>
              <w:left w:w="15" w:type="dxa"/>
              <w:bottom w:w="0" w:type="dxa"/>
              <w:right w:w="15" w:type="dxa"/>
            </w:tcMar>
            <w:vAlign w:val="center"/>
            <w:hideMark/>
          </w:tcPr>
          <w:p w:rsidR="008A71C1" w:rsidRPr="002F18C1" w:rsidRDefault="008A71C1" w:rsidP="00327F7A">
            <w:pPr>
              <w:jc w:val="right"/>
              <w:rPr>
                <w:b/>
                <w:bCs/>
                <w:color w:val="000000"/>
              </w:rPr>
            </w:pPr>
            <w:r w:rsidRPr="002F18C1">
              <w:rPr>
                <w:b/>
                <w:bCs/>
                <w:color w:val="000000"/>
              </w:rPr>
              <w:t xml:space="preserve">   244,013.52 </w:t>
            </w:r>
          </w:p>
        </w:tc>
      </w:tr>
    </w:tbl>
    <w:p w:rsidR="008A71C1" w:rsidRDefault="008A71C1" w:rsidP="008A71C1">
      <w:pPr>
        <w:tabs>
          <w:tab w:val="left" w:pos="5920"/>
        </w:tabs>
        <w:spacing w:before="193"/>
        <w:ind w:right="4945"/>
        <w:rPr>
          <w:b/>
          <w:sz w:val="24"/>
        </w:rPr>
      </w:pPr>
      <w:r>
        <w:rPr>
          <w:b/>
          <w:sz w:val="24"/>
        </w:rPr>
        <w:lastRenderedPageBreak/>
        <w:t>Statement of Work, Schedule and Estimated Costs by Task for the Asotin Intensively Monitored Watershed (IMW) Sub Award to the Washington Department of Fish and</w:t>
      </w:r>
      <w:r>
        <w:rPr>
          <w:b/>
          <w:spacing w:val="-19"/>
          <w:sz w:val="24"/>
        </w:rPr>
        <w:t xml:space="preserve"> </w:t>
      </w:r>
      <w:r>
        <w:rPr>
          <w:b/>
          <w:sz w:val="24"/>
        </w:rPr>
        <w:t>Wildlife</w:t>
      </w:r>
      <w:r>
        <w:rPr>
          <w:b/>
          <w:spacing w:val="-7"/>
          <w:sz w:val="24"/>
        </w:rPr>
        <w:t xml:space="preserve"> </w:t>
      </w:r>
      <w:r>
        <w:rPr>
          <w:b/>
          <w:sz w:val="24"/>
        </w:rPr>
        <w:t xml:space="preserve"> (WDFW)</w:t>
      </w:r>
      <w:r>
        <w:rPr>
          <w:b/>
          <w:sz w:val="24"/>
        </w:rPr>
        <w:t xml:space="preserve">                                                July 1, 2019 to June 30,</w:t>
      </w:r>
      <w:r>
        <w:rPr>
          <w:b/>
          <w:spacing w:val="-18"/>
          <w:sz w:val="24"/>
        </w:rPr>
        <w:t xml:space="preserve"> </w:t>
      </w:r>
      <w:r>
        <w:rPr>
          <w:b/>
          <w:sz w:val="24"/>
        </w:rPr>
        <w:t>2020</w:t>
      </w:r>
    </w:p>
    <w:p w:rsidR="008A71C1" w:rsidRDefault="008A71C1" w:rsidP="008A71C1">
      <w:pPr>
        <w:tabs>
          <w:tab w:val="left" w:pos="5920"/>
        </w:tabs>
        <w:spacing w:before="193"/>
        <w:ind w:left="159" w:right="4945"/>
        <w:rPr>
          <w:b/>
          <w:sz w:val="24"/>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1514"/>
        <w:gridCol w:w="2153"/>
        <w:gridCol w:w="6932"/>
        <w:gridCol w:w="1452"/>
      </w:tblGrid>
      <w:tr w:rsidR="008A71C1" w:rsidTr="00327F7A">
        <w:trPr>
          <w:trHeight w:val="874"/>
        </w:trPr>
        <w:tc>
          <w:tcPr>
            <w:tcW w:w="1368" w:type="dxa"/>
            <w:tcBorders>
              <w:bottom w:val="double" w:sz="2" w:space="0" w:color="000000"/>
            </w:tcBorders>
          </w:tcPr>
          <w:p w:rsidR="008A71C1" w:rsidRPr="002F18C1" w:rsidRDefault="008A71C1" w:rsidP="00327F7A">
            <w:pPr>
              <w:pStyle w:val="TableParagraph"/>
              <w:rPr>
                <w:rFonts w:asciiTheme="minorHAnsi" w:hAnsiTheme="minorHAnsi" w:cstheme="minorHAnsi"/>
                <w:b/>
                <w:sz w:val="24"/>
                <w:szCs w:val="24"/>
              </w:rPr>
            </w:pPr>
          </w:p>
          <w:p w:rsidR="008A71C1" w:rsidRPr="002F18C1" w:rsidRDefault="008A71C1" w:rsidP="00327F7A">
            <w:pPr>
              <w:pStyle w:val="TableParagraph"/>
              <w:spacing w:before="5"/>
              <w:rPr>
                <w:rFonts w:asciiTheme="minorHAnsi" w:hAnsiTheme="minorHAnsi" w:cstheme="minorHAnsi"/>
                <w:b/>
                <w:sz w:val="24"/>
                <w:szCs w:val="24"/>
              </w:rPr>
            </w:pPr>
          </w:p>
          <w:p w:rsidR="008A71C1" w:rsidRPr="002F18C1" w:rsidRDefault="008A71C1" w:rsidP="00327F7A">
            <w:pPr>
              <w:pStyle w:val="TableParagraph"/>
              <w:spacing w:line="251" w:lineRule="exact"/>
              <w:ind w:left="220"/>
              <w:rPr>
                <w:rFonts w:asciiTheme="minorHAnsi" w:hAnsiTheme="minorHAnsi" w:cstheme="minorHAnsi"/>
                <w:b/>
                <w:sz w:val="24"/>
                <w:szCs w:val="24"/>
              </w:rPr>
            </w:pPr>
            <w:r w:rsidRPr="002F18C1">
              <w:rPr>
                <w:rFonts w:asciiTheme="minorHAnsi" w:hAnsiTheme="minorHAnsi" w:cstheme="minorHAnsi"/>
                <w:b/>
                <w:sz w:val="24"/>
                <w:szCs w:val="24"/>
              </w:rPr>
              <w:t>Start Date</w:t>
            </w:r>
          </w:p>
        </w:tc>
        <w:tc>
          <w:tcPr>
            <w:tcW w:w="1514" w:type="dxa"/>
            <w:tcBorders>
              <w:bottom w:val="double" w:sz="2" w:space="0" w:color="000000"/>
            </w:tcBorders>
          </w:tcPr>
          <w:p w:rsidR="008A71C1" w:rsidRPr="002F18C1" w:rsidRDefault="008A71C1" w:rsidP="00327F7A">
            <w:pPr>
              <w:pStyle w:val="TableParagraph"/>
              <w:rPr>
                <w:rFonts w:asciiTheme="minorHAnsi" w:hAnsiTheme="minorHAnsi" w:cstheme="minorHAnsi"/>
                <w:b/>
                <w:sz w:val="24"/>
                <w:szCs w:val="24"/>
              </w:rPr>
            </w:pPr>
          </w:p>
          <w:p w:rsidR="008A71C1" w:rsidRPr="002F18C1" w:rsidRDefault="008A71C1" w:rsidP="00327F7A">
            <w:pPr>
              <w:pStyle w:val="TableParagraph"/>
              <w:spacing w:before="5"/>
              <w:rPr>
                <w:rFonts w:asciiTheme="minorHAnsi" w:hAnsiTheme="minorHAnsi" w:cstheme="minorHAnsi"/>
                <w:b/>
                <w:sz w:val="24"/>
                <w:szCs w:val="24"/>
              </w:rPr>
            </w:pPr>
          </w:p>
          <w:p w:rsidR="008A71C1" w:rsidRPr="002F18C1" w:rsidRDefault="008A71C1" w:rsidP="00327F7A">
            <w:pPr>
              <w:pStyle w:val="TableParagraph"/>
              <w:spacing w:line="251" w:lineRule="exact"/>
              <w:ind w:left="343"/>
              <w:rPr>
                <w:rFonts w:asciiTheme="minorHAnsi" w:hAnsiTheme="minorHAnsi" w:cstheme="minorHAnsi"/>
                <w:b/>
                <w:sz w:val="24"/>
                <w:szCs w:val="24"/>
              </w:rPr>
            </w:pPr>
            <w:r w:rsidRPr="002F18C1">
              <w:rPr>
                <w:rFonts w:asciiTheme="minorHAnsi" w:hAnsiTheme="minorHAnsi" w:cstheme="minorHAnsi"/>
                <w:b/>
                <w:sz w:val="24"/>
                <w:szCs w:val="24"/>
              </w:rPr>
              <w:t>End Date</w:t>
            </w:r>
          </w:p>
        </w:tc>
        <w:tc>
          <w:tcPr>
            <w:tcW w:w="2153" w:type="dxa"/>
            <w:tcBorders>
              <w:bottom w:val="double" w:sz="2" w:space="0" w:color="000000"/>
            </w:tcBorders>
          </w:tcPr>
          <w:p w:rsidR="008A71C1" w:rsidRPr="002F18C1" w:rsidRDefault="008A71C1" w:rsidP="00327F7A">
            <w:pPr>
              <w:pStyle w:val="TableParagraph"/>
              <w:rPr>
                <w:rFonts w:asciiTheme="minorHAnsi" w:hAnsiTheme="minorHAnsi" w:cstheme="minorHAnsi"/>
                <w:b/>
                <w:sz w:val="24"/>
                <w:szCs w:val="24"/>
              </w:rPr>
            </w:pPr>
          </w:p>
          <w:p w:rsidR="008A71C1" w:rsidRPr="002F18C1" w:rsidRDefault="008A71C1" w:rsidP="00327F7A">
            <w:pPr>
              <w:pStyle w:val="TableParagraph"/>
              <w:spacing w:before="5"/>
              <w:rPr>
                <w:rFonts w:asciiTheme="minorHAnsi" w:hAnsiTheme="minorHAnsi" w:cstheme="minorHAnsi"/>
                <w:b/>
                <w:sz w:val="24"/>
                <w:szCs w:val="24"/>
              </w:rPr>
            </w:pPr>
          </w:p>
          <w:p w:rsidR="008A71C1" w:rsidRPr="002F18C1" w:rsidRDefault="008A71C1" w:rsidP="00327F7A">
            <w:pPr>
              <w:pStyle w:val="TableParagraph"/>
              <w:spacing w:line="251" w:lineRule="exact"/>
              <w:ind w:left="108"/>
              <w:rPr>
                <w:rFonts w:asciiTheme="minorHAnsi" w:hAnsiTheme="minorHAnsi" w:cstheme="minorHAnsi"/>
                <w:b/>
                <w:sz w:val="24"/>
                <w:szCs w:val="24"/>
              </w:rPr>
            </w:pPr>
            <w:r w:rsidRPr="002F18C1">
              <w:rPr>
                <w:rFonts w:asciiTheme="minorHAnsi" w:hAnsiTheme="minorHAnsi" w:cstheme="minorHAnsi"/>
                <w:b/>
                <w:sz w:val="24"/>
                <w:szCs w:val="24"/>
              </w:rPr>
              <w:t>Task/Personnel</w:t>
            </w:r>
          </w:p>
        </w:tc>
        <w:tc>
          <w:tcPr>
            <w:tcW w:w="6932" w:type="dxa"/>
            <w:tcBorders>
              <w:bottom w:val="double" w:sz="2" w:space="0" w:color="000000"/>
            </w:tcBorders>
          </w:tcPr>
          <w:p w:rsidR="008A71C1" w:rsidRPr="002F18C1" w:rsidRDefault="008A71C1" w:rsidP="00327F7A">
            <w:pPr>
              <w:pStyle w:val="TableParagraph"/>
              <w:rPr>
                <w:rFonts w:asciiTheme="minorHAnsi" w:hAnsiTheme="minorHAnsi" w:cstheme="minorHAnsi"/>
                <w:b/>
                <w:sz w:val="24"/>
                <w:szCs w:val="24"/>
              </w:rPr>
            </w:pPr>
          </w:p>
          <w:p w:rsidR="008A71C1" w:rsidRPr="002F18C1" w:rsidRDefault="008A71C1" w:rsidP="00327F7A">
            <w:pPr>
              <w:pStyle w:val="TableParagraph"/>
              <w:spacing w:before="5"/>
              <w:rPr>
                <w:rFonts w:asciiTheme="minorHAnsi" w:hAnsiTheme="minorHAnsi" w:cstheme="minorHAnsi"/>
                <w:b/>
                <w:sz w:val="24"/>
                <w:szCs w:val="24"/>
              </w:rPr>
            </w:pPr>
          </w:p>
          <w:p w:rsidR="008A71C1" w:rsidRPr="002F18C1" w:rsidRDefault="008A71C1" w:rsidP="00327F7A">
            <w:pPr>
              <w:pStyle w:val="TableParagraph"/>
              <w:spacing w:line="251" w:lineRule="exact"/>
              <w:ind w:left="108"/>
              <w:rPr>
                <w:rFonts w:asciiTheme="minorHAnsi" w:hAnsiTheme="minorHAnsi" w:cstheme="minorHAnsi"/>
                <w:b/>
                <w:sz w:val="24"/>
                <w:szCs w:val="24"/>
              </w:rPr>
            </w:pPr>
            <w:r w:rsidRPr="002F18C1">
              <w:rPr>
                <w:rFonts w:asciiTheme="minorHAnsi" w:hAnsiTheme="minorHAnsi" w:cstheme="minorHAnsi"/>
                <w:b/>
                <w:sz w:val="24"/>
                <w:szCs w:val="24"/>
              </w:rPr>
              <w:t xml:space="preserve">Description </w:t>
            </w:r>
          </w:p>
        </w:tc>
        <w:tc>
          <w:tcPr>
            <w:tcW w:w="1452" w:type="dxa"/>
            <w:tcBorders>
              <w:bottom w:val="double" w:sz="2" w:space="0" w:color="000000"/>
            </w:tcBorders>
          </w:tcPr>
          <w:p w:rsidR="008A71C1" w:rsidRPr="002F18C1" w:rsidRDefault="008A71C1" w:rsidP="00327F7A">
            <w:pPr>
              <w:pStyle w:val="TableParagraph"/>
              <w:spacing w:before="4"/>
              <w:rPr>
                <w:rFonts w:asciiTheme="minorHAnsi" w:hAnsiTheme="minorHAnsi" w:cstheme="minorHAnsi"/>
                <w:b/>
                <w:sz w:val="24"/>
                <w:szCs w:val="24"/>
              </w:rPr>
            </w:pPr>
          </w:p>
          <w:p w:rsidR="008A71C1" w:rsidRPr="002F18C1" w:rsidRDefault="008A71C1" w:rsidP="00327F7A">
            <w:pPr>
              <w:pStyle w:val="TableParagraph"/>
              <w:spacing w:line="270" w:lineRule="atLeast"/>
              <w:ind w:right="78"/>
              <w:rPr>
                <w:rFonts w:asciiTheme="minorHAnsi" w:hAnsiTheme="minorHAnsi" w:cstheme="minorHAnsi"/>
                <w:b/>
                <w:sz w:val="24"/>
                <w:szCs w:val="24"/>
              </w:rPr>
            </w:pPr>
            <w:r w:rsidRPr="002F18C1">
              <w:rPr>
                <w:rFonts w:asciiTheme="minorHAnsi" w:hAnsiTheme="minorHAnsi" w:cstheme="minorHAnsi"/>
                <w:b/>
                <w:sz w:val="24"/>
                <w:szCs w:val="24"/>
              </w:rPr>
              <w:t>Budget Request</w:t>
            </w:r>
          </w:p>
        </w:tc>
      </w:tr>
      <w:tr w:rsidR="008A71C1" w:rsidTr="00327F7A">
        <w:trPr>
          <w:trHeight w:val="858"/>
        </w:trPr>
        <w:tc>
          <w:tcPr>
            <w:tcW w:w="13419" w:type="dxa"/>
            <w:gridSpan w:val="5"/>
            <w:tcBorders>
              <w:top w:val="double" w:sz="2" w:space="0" w:color="000000"/>
            </w:tcBorders>
          </w:tcPr>
          <w:p w:rsidR="008A71C1" w:rsidRPr="002F18C1" w:rsidRDefault="008A71C1" w:rsidP="00327F7A">
            <w:pPr>
              <w:pStyle w:val="TableParagraph"/>
              <w:spacing w:before="10"/>
              <w:rPr>
                <w:rFonts w:asciiTheme="minorHAnsi" w:hAnsiTheme="minorHAnsi" w:cstheme="minorHAnsi"/>
                <w:b/>
                <w:sz w:val="20"/>
                <w:szCs w:val="20"/>
              </w:rPr>
            </w:pPr>
          </w:p>
          <w:p w:rsidR="008A71C1" w:rsidRPr="002F18C1" w:rsidRDefault="008A71C1" w:rsidP="00327F7A">
            <w:pPr>
              <w:pStyle w:val="TableParagraph"/>
              <w:ind w:left="2592"/>
              <w:rPr>
                <w:rFonts w:asciiTheme="minorHAnsi" w:hAnsiTheme="minorHAnsi" w:cstheme="minorHAnsi"/>
                <w:b/>
                <w:i/>
              </w:rPr>
            </w:pPr>
            <w:r w:rsidRPr="002F18C1">
              <w:rPr>
                <w:rFonts w:asciiTheme="minorHAnsi" w:hAnsiTheme="minorHAnsi" w:cstheme="minorHAnsi"/>
                <w:b/>
                <w:i/>
              </w:rPr>
              <w:t xml:space="preserve">Washington Department of Fish and Wildlife </w:t>
            </w:r>
            <w:r>
              <w:rPr>
                <w:rFonts w:asciiTheme="minorHAnsi" w:hAnsiTheme="minorHAnsi" w:cstheme="minorHAnsi"/>
                <w:b/>
                <w:i/>
              </w:rPr>
              <w:t>–</w:t>
            </w:r>
            <w:r w:rsidRPr="002F18C1">
              <w:rPr>
                <w:rFonts w:asciiTheme="minorHAnsi" w:hAnsiTheme="minorHAnsi" w:cstheme="minorHAnsi"/>
                <w:b/>
                <w:i/>
              </w:rPr>
              <w:t xml:space="preserve"> sub</w:t>
            </w:r>
            <w:r>
              <w:rPr>
                <w:rFonts w:asciiTheme="minorHAnsi" w:hAnsiTheme="minorHAnsi" w:cstheme="minorHAnsi"/>
                <w:b/>
                <w:i/>
              </w:rPr>
              <w:t>-</w:t>
            </w:r>
            <w:r w:rsidRPr="002F18C1">
              <w:rPr>
                <w:rFonts w:asciiTheme="minorHAnsi" w:hAnsiTheme="minorHAnsi" w:cstheme="minorHAnsi"/>
                <w:b/>
                <w:i/>
              </w:rPr>
              <w:t>contract to support IMW data gathering</w:t>
            </w:r>
            <w:r>
              <w:rPr>
                <w:rFonts w:asciiTheme="minorHAnsi" w:hAnsiTheme="minorHAnsi" w:cstheme="minorHAnsi"/>
                <w:b/>
                <w:i/>
              </w:rPr>
              <w:t xml:space="preserve"> in Asotin IMW</w:t>
            </w:r>
          </w:p>
        </w:tc>
      </w:tr>
      <w:tr w:rsidR="008A71C1" w:rsidTr="00327F7A">
        <w:trPr>
          <w:trHeight w:val="854"/>
        </w:trPr>
        <w:tc>
          <w:tcPr>
            <w:tcW w:w="1368" w:type="dxa"/>
          </w:tcPr>
          <w:p w:rsidR="008A71C1" w:rsidRPr="002F18C1" w:rsidRDefault="008A71C1" w:rsidP="00327F7A">
            <w:pPr>
              <w:pStyle w:val="TableParagraph"/>
              <w:spacing w:before="8"/>
              <w:rPr>
                <w:rFonts w:asciiTheme="minorHAnsi" w:hAnsiTheme="minorHAnsi" w:cstheme="minorHAnsi"/>
                <w:b/>
                <w:sz w:val="20"/>
                <w:szCs w:val="20"/>
              </w:rPr>
            </w:pPr>
          </w:p>
          <w:p w:rsidR="008A71C1" w:rsidRPr="002F18C1" w:rsidRDefault="008A71C1" w:rsidP="00327F7A">
            <w:pPr>
              <w:pStyle w:val="TableParagraph"/>
              <w:ind w:left="107"/>
              <w:rPr>
                <w:rFonts w:asciiTheme="minorHAnsi" w:hAnsiTheme="minorHAnsi" w:cstheme="minorHAnsi"/>
                <w:sz w:val="20"/>
                <w:szCs w:val="20"/>
              </w:rPr>
            </w:pPr>
            <w:r>
              <w:rPr>
                <w:rFonts w:asciiTheme="minorHAnsi" w:hAnsiTheme="minorHAnsi" w:cstheme="minorHAnsi"/>
                <w:sz w:val="20"/>
                <w:szCs w:val="20"/>
              </w:rPr>
              <w:t>7/1/2019</w:t>
            </w:r>
          </w:p>
        </w:tc>
        <w:tc>
          <w:tcPr>
            <w:tcW w:w="1514" w:type="dxa"/>
          </w:tcPr>
          <w:p w:rsidR="008A71C1" w:rsidRPr="002F18C1" w:rsidRDefault="008A71C1" w:rsidP="00327F7A">
            <w:pPr>
              <w:pStyle w:val="TableParagraph"/>
              <w:spacing w:before="8"/>
              <w:rPr>
                <w:rFonts w:asciiTheme="minorHAnsi" w:hAnsiTheme="minorHAnsi" w:cstheme="minorHAnsi"/>
                <w:b/>
                <w:sz w:val="20"/>
                <w:szCs w:val="20"/>
              </w:rPr>
            </w:pPr>
          </w:p>
          <w:p w:rsidR="008A71C1" w:rsidRPr="002F18C1" w:rsidRDefault="008A71C1" w:rsidP="00327F7A">
            <w:pPr>
              <w:pStyle w:val="TableParagraph"/>
              <w:ind w:left="108"/>
              <w:rPr>
                <w:rFonts w:asciiTheme="minorHAnsi" w:hAnsiTheme="minorHAnsi" w:cstheme="minorHAnsi"/>
                <w:sz w:val="20"/>
                <w:szCs w:val="20"/>
              </w:rPr>
            </w:pPr>
            <w:r>
              <w:rPr>
                <w:rFonts w:asciiTheme="minorHAnsi" w:hAnsiTheme="minorHAnsi" w:cstheme="minorHAnsi"/>
                <w:sz w:val="20"/>
                <w:szCs w:val="20"/>
              </w:rPr>
              <w:t>6/30/2020</w:t>
            </w:r>
          </w:p>
        </w:tc>
        <w:tc>
          <w:tcPr>
            <w:tcW w:w="2153" w:type="dxa"/>
          </w:tcPr>
          <w:p w:rsidR="008A71C1" w:rsidRPr="002F18C1" w:rsidRDefault="008A71C1" w:rsidP="00327F7A">
            <w:pPr>
              <w:pStyle w:val="TableParagraph"/>
              <w:spacing w:before="20"/>
              <w:ind w:left="108" w:right="135"/>
              <w:rPr>
                <w:rFonts w:asciiTheme="minorHAnsi" w:hAnsiTheme="minorHAnsi" w:cstheme="minorHAnsi"/>
                <w:sz w:val="20"/>
                <w:szCs w:val="20"/>
              </w:rPr>
            </w:pPr>
            <w:r w:rsidRPr="002F18C1">
              <w:rPr>
                <w:rFonts w:asciiTheme="minorHAnsi" w:hAnsiTheme="minorHAnsi" w:cstheme="minorHAnsi"/>
                <w:sz w:val="20"/>
                <w:szCs w:val="20"/>
              </w:rPr>
              <w:t>WDFW Management of data collected for IMW</w:t>
            </w:r>
          </w:p>
        </w:tc>
        <w:tc>
          <w:tcPr>
            <w:tcW w:w="6932" w:type="dxa"/>
          </w:tcPr>
          <w:p w:rsidR="008A71C1" w:rsidRPr="002F18C1" w:rsidRDefault="008A71C1" w:rsidP="00327F7A">
            <w:pPr>
              <w:pStyle w:val="TableParagraph"/>
              <w:spacing w:before="155"/>
              <w:ind w:left="108" w:right="273"/>
              <w:rPr>
                <w:rFonts w:asciiTheme="minorHAnsi" w:hAnsiTheme="minorHAnsi" w:cstheme="minorHAnsi"/>
                <w:sz w:val="20"/>
                <w:szCs w:val="20"/>
              </w:rPr>
            </w:pPr>
            <w:r w:rsidRPr="002F18C1">
              <w:rPr>
                <w:rFonts w:asciiTheme="minorHAnsi" w:hAnsiTheme="minorHAnsi" w:cstheme="minorHAnsi"/>
                <w:sz w:val="20"/>
                <w:szCs w:val="20"/>
              </w:rPr>
              <w:t>Oversee tasks and manage data collected by WDFW for IMW; coordinate with IMW coordinator as needed; provide all data to IMW coordinator</w:t>
            </w:r>
          </w:p>
        </w:tc>
        <w:tc>
          <w:tcPr>
            <w:tcW w:w="1452" w:type="dxa"/>
          </w:tcPr>
          <w:p w:rsidR="008A71C1" w:rsidRPr="002F18C1" w:rsidRDefault="008A71C1" w:rsidP="00327F7A">
            <w:pPr>
              <w:pStyle w:val="TableParagraph"/>
              <w:spacing w:before="8"/>
              <w:rPr>
                <w:rFonts w:asciiTheme="minorHAnsi" w:hAnsiTheme="minorHAnsi" w:cstheme="minorHAnsi"/>
                <w:b/>
                <w:sz w:val="20"/>
                <w:szCs w:val="20"/>
              </w:rPr>
            </w:pPr>
          </w:p>
          <w:p w:rsidR="008A71C1" w:rsidRPr="002F18C1" w:rsidRDefault="008A71C1" w:rsidP="00327F7A">
            <w:pPr>
              <w:pStyle w:val="TableParagraph"/>
              <w:ind w:right="96"/>
              <w:jc w:val="right"/>
              <w:rPr>
                <w:rFonts w:asciiTheme="minorHAnsi" w:hAnsiTheme="minorHAnsi" w:cstheme="minorHAnsi"/>
                <w:sz w:val="20"/>
                <w:szCs w:val="20"/>
              </w:rPr>
            </w:pPr>
            <w:r>
              <w:rPr>
                <w:rFonts w:asciiTheme="minorHAnsi" w:hAnsiTheme="minorHAnsi" w:cstheme="minorHAnsi"/>
                <w:sz w:val="20"/>
                <w:szCs w:val="20"/>
              </w:rPr>
              <w:t>1,8</w:t>
            </w:r>
            <w:r w:rsidRPr="002F18C1">
              <w:rPr>
                <w:rFonts w:asciiTheme="minorHAnsi" w:hAnsiTheme="minorHAnsi" w:cstheme="minorHAnsi"/>
                <w:sz w:val="20"/>
                <w:szCs w:val="20"/>
              </w:rPr>
              <w:t>00.00</w:t>
            </w:r>
          </w:p>
        </w:tc>
      </w:tr>
      <w:tr w:rsidR="008A71C1" w:rsidTr="00327F7A">
        <w:trPr>
          <w:trHeight w:val="1715"/>
        </w:trPr>
        <w:tc>
          <w:tcPr>
            <w:tcW w:w="1368" w:type="dxa"/>
          </w:tcPr>
          <w:p w:rsidR="008A71C1" w:rsidRPr="002F18C1" w:rsidRDefault="008A71C1" w:rsidP="00327F7A">
            <w:pPr>
              <w:pStyle w:val="TableParagraph"/>
              <w:rPr>
                <w:rFonts w:asciiTheme="minorHAnsi" w:hAnsiTheme="minorHAnsi" w:cstheme="minorHAnsi"/>
                <w:b/>
                <w:sz w:val="20"/>
                <w:szCs w:val="20"/>
              </w:rPr>
            </w:pPr>
          </w:p>
          <w:p w:rsidR="008A71C1" w:rsidRPr="002F18C1" w:rsidRDefault="008A71C1" w:rsidP="00327F7A">
            <w:pPr>
              <w:pStyle w:val="TableParagraph"/>
              <w:rPr>
                <w:rFonts w:asciiTheme="minorHAnsi" w:hAnsiTheme="minorHAnsi" w:cstheme="minorHAnsi"/>
                <w:b/>
                <w:sz w:val="20"/>
                <w:szCs w:val="20"/>
              </w:rPr>
            </w:pPr>
          </w:p>
          <w:p w:rsidR="008A71C1" w:rsidRPr="002F18C1" w:rsidRDefault="008A71C1" w:rsidP="00327F7A">
            <w:pPr>
              <w:pStyle w:val="TableParagraph"/>
              <w:spacing w:before="184"/>
              <w:ind w:left="107"/>
              <w:rPr>
                <w:rFonts w:asciiTheme="minorHAnsi" w:hAnsiTheme="minorHAnsi" w:cstheme="minorHAnsi"/>
                <w:sz w:val="20"/>
                <w:szCs w:val="20"/>
              </w:rPr>
            </w:pPr>
            <w:r>
              <w:rPr>
                <w:rFonts w:asciiTheme="minorHAnsi" w:hAnsiTheme="minorHAnsi" w:cstheme="minorHAnsi"/>
                <w:sz w:val="20"/>
                <w:szCs w:val="20"/>
              </w:rPr>
              <w:t>7/1/2019</w:t>
            </w:r>
          </w:p>
        </w:tc>
        <w:tc>
          <w:tcPr>
            <w:tcW w:w="1514" w:type="dxa"/>
          </w:tcPr>
          <w:p w:rsidR="008A71C1" w:rsidRPr="002F18C1" w:rsidRDefault="008A71C1" w:rsidP="00327F7A">
            <w:pPr>
              <w:pStyle w:val="TableParagraph"/>
              <w:rPr>
                <w:rFonts w:asciiTheme="minorHAnsi" w:hAnsiTheme="minorHAnsi" w:cstheme="minorHAnsi"/>
                <w:b/>
                <w:sz w:val="20"/>
                <w:szCs w:val="20"/>
              </w:rPr>
            </w:pPr>
          </w:p>
          <w:p w:rsidR="008A71C1" w:rsidRPr="002F18C1" w:rsidRDefault="008A71C1" w:rsidP="00327F7A">
            <w:pPr>
              <w:pStyle w:val="TableParagraph"/>
              <w:rPr>
                <w:rFonts w:asciiTheme="minorHAnsi" w:hAnsiTheme="minorHAnsi" w:cstheme="minorHAnsi"/>
                <w:b/>
                <w:sz w:val="20"/>
                <w:szCs w:val="20"/>
              </w:rPr>
            </w:pPr>
          </w:p>
          <w:p w:rsidR="008A71C1" w:rsidRPr="002F18C1" w:rsidRDefault="008A71C1" w:rsidP="00327F7A">
            <w:pPr>
              <w:pStyle w:val="TableParagraph"/>
              <w:spacing w:before="184"/>
              <w:ind w:left="108"/>
              <w:rPr>
                <w:rFonts w:asciiTheme="minorHAnsi" w:hAnsiTheme="minorHAnsi" w:cstheme="minorHAnsi"/>
                <w:sz w:val="20"/>
                <w:szCs w:val="20"/>
              </w:rPr>
            </w:pPr>
            <w:r>
              <w:rPr>
                <w:rFonts w:asciiTheme="minorHAnsi" w:hAnsiTheme="minorHAnsi" w:cstheme="minorHAnsi"/>
                <w:sz w:val="20"/>
                <w:szCs w:val="20"/>
              </w:rPr>
              <w:t>6/30/2020</w:t>
            </w:r>
          </w:p>
        </w:tc>
        <w:tc>
          <w:tcPr>
            <w:tcW w:w="2153" w:type="dxa"/>
          </w:tcPr>
          <w:p w:rsidR="008A71C1" w:rsidRPr="002F18C1" w:rsidRDefault="008A71C1" w:rsidP="00327F7A">
            <w:pPr>
              <w:pStyle w:val="TableParagraph"/>
              <w:rPr>
                <w:rFonts w:asciiTheme="minorHAnsi" w:hAnsiTheme="minorHAnsi" w:cstheme="minorHAnsi"/>
                <w:b/>
                <w:sz w:val="20"/>
                <w:szCs w:val="20"/>
              </w:rPr>
            </w:pPr>
          </w:p>
          <w:p w:rsidR="008A71C1" w:rsidRPr="002F18C1" w:rsidRDefault="008A71C1" w:rsidP="00327F7A">
            <w:pPr>
              <w:pStyle w:val="TableParagraph"/>
              <w:rPr>
                <w:rFonts w:asciiTheme="minorHAnsi" w:hAnsiTheme="minorHAnsi" w:cstheme="minorHAnsi"/>
                <w:b/>
                <w:sz w:val="20"/>
                <w:szCs w:val="20"/>
              </w:rPr>
            </w:pPr>
          </w:p>
          <w:p w:rsidR="008A71C1" w:rsidRPr="002F18C1" w:rsidRDefault="008A71C1" w:rsidP="00327F7A">
            <w:pPr>
              <w:pStyle w:val="TableParagraph"/>
              <w:spacing w:before="184"/>
              <w:ind w:left="108"/>
              <w:rPr>
                <w:rFonts w:asciiTheme="minorHAnsi" w:hAnsiTheme="minorHAnsi" w:cstheme="minorHAnsi"/>
                <w:sz w:val="20"/>
                <w:szCs w:val="20"/>
              </w:rPr>
            </w:pPr>
            <w:r w:rsidRPr="002F18C1">
              <w:rPr>
                <w:rFonts w:asciiTheme="minorHAnsi" w:hAnsiTheme="minorHAnsi" w:cstheme="minorHAnsi"/>
                <w:sz w:val="20"/>
                <w:szCs w:val="20"/>
              </w:rPr>
              <w:t>Monitoring</w:t>
            </w:r>
          </w:p>
        </w:tc>
        <w:tc>
          <w:tcPr>
            <w:tcW w:w="6932" w:type="dxa"/>
          </w:tcPr>
          <w:p w:rsidR="008A71C1" w:rsidRPr="002F18C1" w:rsidRDefault="008A71C1" w:rsidP="00327F7A">
            <w:pPr>
              <w:pStyle w:val="TableParagraph"/>
              <w:rPr>
                <w:rFonts w:asciiTheme="minorHAnsi" w:hAnsiTheme="minorHAnsi" w:cstheme="minorHAnsi"/>
                <w:b/>
                <w:sz w:val="20"/>
                <w:szCs w:val="20"/>
              </w:rPr>
            </w:pPr>
          </w:p>
          <w:p w:rsidR="008A71C1" w:rsidRPr="002F18C1" w:rsidRDefault="008A71C1" w:rsidP="00327F7A">
            <w:pPr>
              <w:pStyle w:val="TableParagraph"/>
              <w:spacing w:before="1"/>
              <w:ind w:left="108" w:right="365"/>
              <w:rPr>
                <w:rFonts w:asciiTheme="minorHAnsi" w:hAnsiTheme="minorHAnsi" w:cstheme="minorHAnsi"/>
                <w:sz w:val="20"/>
                <w:szCs w:val="20"/>
              </w:rPr>
            </w:pPr>
            <w:r w:rsidRPr="002F18C1">
              <w:rPr>
                <w:rFonts w:asciiTheme="minorHAnsi" w:hAnsiTheme="minorHAnsi" w:cstheme="minorHAnsi"/>
                <w:sz w:val="20"/>
                <w:szCs w:val="20"/>
              </w:rPr>
              <w:t xml:space="preserve">Assist with fish surveys, </w:t>
            </w:r>
            <w:proofErr w:type="spellStart"/>
            <w:r w:rsidRPr="002F18C1">
              <w:rPr>
                <w:rFonts w:asciiTheme="minorHAnsi" w:hAnsiTheme="minorHAnsi" w:cstheme="minorHAnsi"/>
                <w:sz w:val="20"/>
                <w:szCs w:val="20"/>
              </w:rPr>
              <w:t>redd</w:t>
            </w:r>
            <w:proofErr w:type="spellEnd"/>
            <w:r w:rsidRPr="002F18C1">
              <w:rPr>
                <w:rFonts w:asciiTheme="minorHAnsi" w:hAnsiTheme="minorHAnsi" w:cstheme="minorHAnsi"/>
                <w:sz w:val="20"/>
                <w:szCs w:val="20"/>
              </w:rPr>
              <w:t xml:space="preserve"> counts, habitat surveys, PIT tag array site maintenance, and contribute to development and publishing on manuscripts related to IMW study as needed and agreed upon between WDFW and the IMW Coordinator</w:t>
            </w:r>
          </w:p>
        </w:tc>
        <w:tc>
          <w:tcPr>
            <w:tcW w:w="1452" w:type="dxa"/>
          </w:tcPr>
          <w:p w:rsidR="008A71C1" w:rsidRPr="002F18C1" w:rsidRDefault="008A71C1" w:rsidP="00327F7A">
            <w:pPr>
              <w:pStyle w:val="TableParagraph"/>
              <w:rPr>
                <w:rFonts w:asciiTheme="minorHAnsi" w:hAnsiTheme="minorHAnsi" w:cstheme="minorHAnsi"/>
                <w:b/>
                <w:sz w:val="20"/>
                <w:szCs w:val="20"/>
              </w:rPr>
            </w:pPr>
          </w:p>
          <w:p w:rsidR="008A71C1" w:rsidRPr="002F18C1" w:rsidRDefault="008A71C1" w:rsidP="00327F7A">
            <w:pPr>
              <w:pStyle w:val="TableParagraph"/>
              <w:rPr>
                <w:rFonts w:asciiTheme="minorHAnsi" w:hAnsiTheme="minorHAnsi" w:cstheme="minorHAnsi"/>
                <w:b/>
                <w:sz w:val="20"/>
                <w:szCs w:val="20"/>
              </w:rPr>
            </w:pPr>
          </w:p>
          <w:p w:rsidR="008A71C1" w:rsidRPr="002F18C1" w:rsidRDefault="008A71C1" w:rsidP="00327F7A">
            <w:pPr>
              <w:pStyle w:val="TableParagraph"/>
              <w:spacing w:before="184"/>
              <w:ind w:right="96"/>
              <w:jc w:val="right"/>
              <w:rPr>
                <w:rFonts w:asciiTheme="minorHAnsi" w:hAnsiTheme="minorHAnsi" w:cstheme="minorHAnsi"/>
                <w:sz w:val="20"/>
                <w:szCs w:val="20"/>
              </w:rPr>
            </w:pPr>
            <w:r>
              <w:rPr>
                <w:rFonts w:asciiTheme="minorHAnsi" w:hAnsiTheme="minorHAnsi" w:cstheme="minorHAnsi"/>
                <w:sz w:val="20"/>
                <w:szCs w:val="20"/>
              </w:rPr>
              <w:t>18</w:t>
            </w:r>
            <w:r w:rsidRPr="002F18C1">
              <w:rPr>
                <w:rFonts w:asciiTheme="minorHAnsi" w:hAnsiTheme="minorHAnsi" w:cstheme="minorHAnsi"/>
                <w:sz w:val="20"/>
                <w:szCs w:val="20"/>
              </w:rPr>
              <w:t>,000.00</w:t>
            </w:r>
          </w:p>
        </w:tc>
      </w:tr>
      <w:tr w:rsidR="008A71C1" w:rsidTr="00327F7A">
        <w:trPr>
          <w:trHeight w:val="856"/>
        </w:trPr>
        <w:tc>
          <w:tcPr>
            <w:tcW w:w="1368" w:type="dxa"/>
          </w:tcPr>
          <w:p w:rsidR="008A71C1" w:rsidRPr="002F18C1" w:rsidRDefault="008A71C1" w:rsidP="00327F7A">
            <w:pPr>
              <w:pStyle w:val="TableParagraph"/>
              <w:spacing w:before="9"/>
              <w:rPr>
                <w:rFonts w:asciiTheme="minorHAnsi" w:hAnsiTheme="minorHAnsi" w:cstheme="minorHAnsi"/>
                <w:b/>
                <w:sz w:val="20"/>
                <w:szCs w:val="20"/>
              </w:rPr>
            </w:pPr>
          </w:p>
          <w:p w:rsidR="008A71C1" w:rsidRPr="002F18C1" w:rsidRDefault="008A71C1" w:rsidP="00327F7A">
            <w:pPr>
              <w:pStyle w:val="TableParagraph"/>
              <w:ind w:left="107"/>
              <w:rPr>
                <w:rFonts w:asciiTheme="minorHAnsi" w:hAnsiTheme="minorHAnsi" w:cstheme="minorHAnsi"/>
                <w:sz w:val="20"/>
                <w:szCs w:val="20"/>
              </w:rPr>
            </w:pPr>
            <w:r>
              <w:rPr>
                <w:rFonts w:asciiTheme="minorHAnsi" w:hAnsiTheme="minorHAnsi" w:cstheme="minorHAnsi"/>
                <w:sz w:val="20"/>
                <w:szCs w:val="20"/>
              </w:rPr>
              <w:t>7/1/2019</w:t>
            </w:r>
          </w:p>
        </w:tc>
        <w:tc>
          <w:tcPr>
            <w:tcW w:w="1514" w:type="dxa"/>
          </w:tcPr>
          <w:p w:rsidR="008A71C1" w:rsidRPr="002F18C1" w:rsidRDefault="008A71C1" w:rsidP="00327F7A">
            <w:pPr>
              <w:pStyle w:val="TableParagraph"/>
              <w:spacing w:before="9"/>
              <w:rPr>
                <w:rFonts w:asciiTheme="minorHAnsi" w:hAnsiTheme="minorHAnsi" w:cstheme="minorHAnsi"/>
                <w:b/>
                <w:sz w:val="20"/>
                <w:szCs w:val="20"/>
              </w:rPr>
            </w:pPr>
          </w:p>
          <w:p w:rsidR="008A71C1" w:rsidRPr="002F18C1" w:rsidRDefault="008A71C1" w:rsidP="00327F7A">
            <w:pPr>
              <w:pStyle w:val="TableParagraph"/>
              <w:ind w:left="108"/>
              <w:rPr>
                <w:rFonts w:asciiTheme="minorHAnsi" w:hAnsiTheme="minorHAnsi" w:cstheme="minorHAnsi"/>
                <w:sz w:val="20"/>
                <w:szCs w:val="20"/>
              </w:rPr>
            </w:pPr>
            <w:r>
              <w:rPr>
                <w:rFonts w:asciiTheme="minorHAnsi" w:hAnsiTheme="minorHAnsi" w:cstheme="minorHAnsi"/>
                <w:sz w:val="20"/>
                <w:szCs w:val="20"/>
              </w:rPr>
              <w:t>6/30/2020</w:t>
            </w:r>
          </w:p>
        </w:tc>
        <w:tc>
          <w:tcPr>
            <w:tcW w:w="2153" w:type="dxa"/>
          </w:tcPr>
          <w:p w:rsidR="008A71C1" w:rsidRPr="002F18C1" w:rsidRDefault="008A71C1" w:rsidP="00327F7A">
            <w:pPr>
              <w:pStyle w:val="TableParagraph"/>
              <w:spacing w:before="9"/>
              <w:rPr>
                <w:rFonts w:asciiTheme="minorHAnsi" w:hAnsiTheme="minorHAnsi" w:cstheme="minorHAnsi"/>
                <w:b/>
                <w:sz w:val="20"/>
                <w:szCs w:val="20"/>
              </w:rPr>
            </w:pPr>
          </w:p>
          <w:p w:rsidR="008A71C1" w:rsidRPr="002F18C1" w:rsidRDefault="008A71C1" w:rsidP="00327F7A">
            <w:pPr>
              <w:pStyle w:val="TableParagraph"/>
              <w:ind w:left="108"/>
              <w:rPr>
                <w:rFonts w:asciiTheme="minorHAnsi" w:hAnsiTheme="minorHAnsi" w:cstheme="minorHAnsi"/>
                <w:sz w:val="20"/>
                <w:szCs w:val="20"/>
              </w:rPr>
            </w:pPr>
            <w:r w:rsidRPr="002F18C1">
              <w:rPr>
                <w:rFonts w:asciiTheme="minorHAnsi" w:hAnsiTheme="minorHAnsi" w:cstheme="minorHAnsi"/>
                <w:sz w:val="20"/>
                <w:szCs w:val="20"/>
              </w:rPr>
              <w:t>Expenses</w:t>
            </w:r>
          </w:p>
        </w:tc>
        <w:tc>
          <w:tcPr>
            <w:tcW w:w="6932" w:type="dxa"/>
          </w:tcPr>
          <w:p w:rsidR="008A71C1" w:rsidRPr="002F18C1" w:rsidRDefault="008A71C1" w:rsidP="00327F7A">
            <w:pPr>
              <w:pStyle w:val="TableParagraph"/>
              <w:spacing w:before="155"/>
              <w:ind w:left="108" w:right="116"/>
              <w:rPr>
                <w:rFonts w:asciiTheme="minorHAnsi" w:hAnsiTheme="minorHAnsi" w:cstheme="minorHAnsi"/>
                <w:sz w:val="20"/>
                <w:szCs w:val="20"/>
              </w:rPr>
            </w:pPr>
            <w:r w:rsidRPr="002F18C1">
              <w:rPr>
                <w:rFonts w:asciiTheme="minorHAnsi" w:hAnsiTheme="minorHAnsi" w:cstheme="minorHAnsi"/>
                <w:sz w:val="20"/>
                <w:szCs w:val="20"/>
              </w:rPr>
              <w:t>cover direct costs of PIT tags, reading scale samples for up to 1000 juvenile steelhead, other equipment and miscellaneous supplies</w:t>
            </w:r>
          </w:p>
        </w:tc>
        <w:tc>
          <w:tcPr>
            <w:tcW w:w="1452" w:type="dxa"/>
          </w:tcPr>
          <w:p w:rsidR="008A71C1" w:rsidRPr="002F18C1" w:rsidRDefault="008A71C1" w:rsidP="00327F7A">
            <w:pPr>
              <w:pStyle w:val="TableParagraph"/>
              <w:spacing w:before="9"/>
              <w:rPr>
                <w:rFonts w:asciiTheme="minorHAnsi" w:hAnsiTheme="minorHAnsi" w:cstheme="minorHAnsi"/>
                <w:b/>
                <w:sz w:val="20"/>
                <w:szCs w:val="20"/>
              </w:rPr>
            </w:pPr>
          </w:p>
          <w:p w:rsidR="008A71C1" w:rsidRPr="002F18C1" w:rsidRDefault="008A71C1" w:rsidP="00327F7A">
            <w:pPr>
              <w:pStyle w:val="TableParagraph"/>
              <w:ind w:right="96"/>
              <w:jc w:val="right"/>
              <w:rPr>
                <w:rFonts w:asciiTheme="minorHAnsi" w:hAnsiTheme="minorHAnsi" w:cstheme="minorHAnsi"/>
                <w:sz w:val="20"/>
                <w:szCs w:val="20"/>
              </w:rPr>
            </w:pPr>
            <w:r w:rsidRPr="002F18C1">
              <w:rPr>
                <w:rFonts w:asciiTheme="minorHAnsi" w:hAnsiTheme="minorHAnsi" w:cstheme="minorHAnsi"/>
                <w:sz w:val="20"/>
                <w:szCs w:val="20"/>
              </w:rPr>
              <w:t>3,500.00</w:t>
            </w:r>
          </w:p>
        </w:tc>
      </w:tr>
      <w:tr w:rsidR="008A71C1" w:rsidTr="00327F7A">
        <w:trPr>
          <w:trHeight w:val="537"/>
        </w:trPr>
        <w:tc>
          <w:tcPr>
            <w:tcW w:w="1368" w:type="dxa"/>
          </w:tcPr>
          <w:p w:rsidR="008A71C1" w:rsidRPr="002F18C1" w:rsidRDefault="008A71C1" w:rsidP="00327F7A">
            <w:pPr>
              <w:pStyle w:val="TableParagraph"/>
              <w:spacing w:before="131"/>
              <w:ind w:left="107"/>
              <w:rPr>
                <w:rFonts w:asciiTheme="minorHAnsi" w:hAnsiTheme="minorHAnsi" w:cstheme="minorHAnsi"/>
                <w:sz w:val="20"/>
                <w:szCs w:val="20"/>
              </w:rPr>
            </w:pPr>
            <w:r>
              <w:rPr>
                <w:rFonts w:asciiTheme="minorHAnsi" w:hAnsiTheme="minorHAnsi" w:cstheme="minorHAnsi"/>
                <w:sz w:val="20"/>
                <w:szCs w:val="20"/>
              </w:rPr>
              <w:t>7/1/2019</w:t>
            </w:r>
          </w:p>
        </w:tc>
        <w:tc>
          <w:tcPr>
            <w:tcW w:w="1514" w:type="dxa"/>
          </w:tcPr>
          <w:p w:rsidR="008A71C1" w:rsidRPr="002F18C1" w:rsidRDefault="008A71C1" w:rsidP="00327F7A">
            <w:pPr>
              <w:pStyle w:val="TableParagraph"/>
              <w:spacing w:before="131"/>
              <w:ind w:left="108"/>
              <w:rPr>
                <w:rFonts w:asciiTheme="minorHAnsi" w:hAnsiTheme="minorHAnsi" w:cstheme="minorHAnsi"/>
                <w:sz w:val="20"/>
                <w:szCs w:val="20"/>
              </w:rPr>
            </w:pPr>
            <w:r>
              <w:rPr>
                <w:rFonts w:asciiTheme="minorHAnsi" w:hAnsiTheme="minorHAnsi" w:cstheme="minorHAnsi"/>
                <w:sz w:val="20"/>
                <w:szCs w:val="20"/>
              </w:rPr>
              <w:t>6/30/2020</w:t>
            </w:r>
          </w:p>
        </w:tc>
        <w:tc>
          <w:tcPr>
            <w:tcW w:w="9085" w:type="dxa"/>
            <w:gridSpan w:val="2"/>
          </w:tcPr>
          <w:p w:rsidR="008A71C1" w:rsidRPr="002F18C1" w:rsidRDefault="008A71C1" w:rsidP="00327F7A">
            <w:pPr>
              <w:pStyle w:val="TableParagraph"/>
              <w:spacing w:line="265" w:lineRule="exact"/>
              <w:ind w:left="108"/>
              <w:rPr>
                <w:rFonts w:asciiTheme="minorHAnsi" w:hAnsiTheme="minorHAnsi" w:cstheme="minorHAnsi"/>
                <w:sz w:val="20"/>
                <w:szCs w:val="20"/>
              </w:rPr>
            </w:pPr>
            <w:r w:rsidRPr="002F18C1">
              <w:rPr>
                <w:rFonts w:asciiTheme="minorHAnsi" w:hAnsiTheme="minorHAnsi" w:cstheme="minorHAnsi"/>
                <w:sz w:val="20"/>
                <w:szCs w:val="20"/>
              </w:rPr>
              <w:t>WDDFW indirect</w:t>
            </w:r>
          </w:p>
          <w:p w:rsidR="008A71C1" w:rsidRPr="002F18C1" w:rsidRDefault="008A71C1" w:rsidP="00327F7A">
            <w:pPr>
              <w:pStyle w:val="TableParagraph"/>
              <w:spacing w:line="252" w:lineRule="exact"/>
              <w:ind w:left="108"/>
              <w:rPr>
                <w:rFonts w:asciiTheme="minorHAnsi" w:hAnsiTheme="minorHAnsi" w:cstheme="minorHAnsi"/>
                <w:sz w:val="20"/>
                <w:szCs w:val="20"/>
              </w:rPr>
            </w:pPr>
            <w:r w:rsidRPr="002F18C1">
              <w:rPr>
                <w:rFonts w:asciiTheme="minorHAnsi" w:hAnsiTheme="minorHAnsi" w:cstheme="minorHAnsi"/>
                <w:sz w:val="20"/>
                <w:szCs w:val="20"/>
              </w:rPr>
              <w:t>(28.78%)</w:t>
            </w:r>
          </w:p>
        </w:tc>
        <w:tc>
          <w:tcPr>
            <w:tcW w:w="1452" w:type="dxa"/>
          </w:tcPr>
          <w:p w:rsidR="008A71C1" w:rsidRPr="002F18C1" w:rsidRDefault="008A71C1" w:rsidP="00327F7A">
            <w:pPr>
              <w:pStyle w:val="TableParagraph"/>
              <w:spacing w:before="131"/>
              <w:ind w:right="96"/>
              <w:jc w:val="right"/>
              <w:rPr>
                <w:rFonts w:asciiTheme="minorHAnsi" w:hAnsiTheme="minorHAnsi" w:cstheme="minorHAnsi"/>
                <w:sz w:val="20"/>
                <w:szCs w:val="20"/>
              </w:rPr>
            </w:pPr>
            <w:r>
              <w:rPr>
                <w:rFonts w:asciiTheme="minorHAnsi" w:hAnsiTheme="minorHAnsi" w:cstheme="minorHAnsi"/>
                <w:sz w:val="20"/>
                <w:szCs w:val="20"/>
              </w:rPr>
              <w:t>6,700</w:t>
            </w:r>
            <w:r w:rsidRPr="002F18C1">
              <w:rPr>
                <w:rFonts w:asciiTheme="minorHAnsi" w:hAnsiTheme="minorHAnsi" w:cstheme="minorHAnsi"/>
                <w:sz w:val="20"/>
                <w:szCs w:val="20"/>
              </w:rPr>
              <w:t>.00</w:t>
            </w:r>
          </w:p>
        </w:tc>
      </w:tr>
      <w:tr w:rsidR="008A71C1" w:rsidTr="00327F7A">
        <w:trPr>
          <w:trHeight w:val="469"/>
        </w:trPr>
        <w:tc>
          <w:tcPr>
            <w:tcW w:w="11967" w:type="dxa"/>
            <w:gridSpan w:val="4"/>
            <w:tcBorders>
              <w:bottom w:val="double" w:sz="2" w:space="0" w:color="000000"/>
            </w:tcBorders>
            <w:shd w:val="clear" w:color="auto" w:fill="F1F1F1"/>
          </w:tcPr>
          <w:p w:rsidR="008A71C1" w:rsidRPr="002F18C1" w:rsidRDefault="008A71C1" w:rsidP="00327F7A">
            <w:pPr>
              <w:pStyle w:val="TableParagraph"/>
              <w:spacing w:before="97"/>
              <w:ind w:left="107"/>
              <w:rPr>
                <w:rFonts w:asciiTheme="minorHAnsi" w:hAnsiTheme="minorHAnsi" w:cstheme="minorHAnsi"/>
                <w:b/>
                <w:i/>
              </w:rPr>
            </w:pPr>
            <w:r w:rsidRPr="002F18C1">
              <w:rPr>
                <w:rFonts w:asciiTheme="minorHAnsi" w:hAnsiTheme="minorHAnsi" w:cstheme="minorHAnsi"/>
                <w:b/>
                <w:i/>
              </w:rPr>
              <w:t>subtotal WDFW</w:t>
            </w:r>
          </w:p>
        </w:tc>
        <w:tc>
          <w:tcPr>
            <w:tcW w:w="1452" w:type="dxa"/>
            <w:tcBorders>
              <w:bottom w:val="single" w:sz="6" w:space="0" w:color="000000"/>
            </w:tcBorders>
            <w:shd w:val="clear" w:color="auto" w:fill="F1F1F1"/>
          </w:tcPr>
          <w:p w:rsidR="008A71C1" w:rsidRPr="002F18C1" w:rsidRDefault="008A71C1" w:rsidP="00327F7A">
            <w:pPr>
              <w:pStyle w:val="TableParagraph"/>
              <w:spacing w:before="97"/>
              <w:ind w:right="96"/>
              <w:jc w:val="right"/>
              <w:rPr>
                <w:rFonts w:asciiTheme="minorHAnsi" w:hAnsiTheme="minorHAnsi" w:cstheme="minorHAnsi"/>
                <w:b/>
                <w:i/>
              </w:rPr>
            </w:pPr>
            <w:r>
              <w:rPr>
                <w:rFonts w:asciiTheme="minorHAnsi" w:hAnsiTheme="minorHAnsi" w:cstheme="minorHAnsi"/>
                <w:b/>
                <w:i/>
              </w:rPr>
              <w:t>30,000</w:t>
            </w:r>
            <w:r w:rsidRPr="002F18C1">
              <w:rPr>
                <w:rFonts w:asciiTheme="minorHAnsi" w:hAnsiTheme="minorHAnsi" w:cstheme="minorHAnsi"/>
                <w:b/>
                <w:i/>
              </w:rPr>
              <w:t>.00</w:t>
            </w:r>
          </w:p>
        </w:tc>
      </w:tr>
    </w:tbl>
    <w:p w:rsidR="008A71C1" w:rsidRDefault="008A71C1" w:rsidP="008A71C1">
      <w:pPr>
        <w:pStyle w:val="BodyText"/>
        <w:spacing w:line="20" w:lineRule="exact"/>
        <w:ind w:left="12162"/>
        <w:rPr>
          <w:sz w:val="2"/>
        </w:rPr>
      </w:pPr>
      <w:r>
        <w:rPr>
          <w:noProof/>
          <w:sz w:val="2"/>
          <w:lang w:bidi="ar-SA"/>
        </w:rPr>
        <mc:AlternateContent>
          <mc:Choice Requires="wpg">
            <w:drawing>
              <wp:inline distT="0" distB="0" distL="0" distR="0" wp14:anchorId="41AF51D5" wp14:editId="7DE3222E">
                <wp:extent cx="901065" cy="9525"/>
                <wp:effectExtent l="13970" t="8890" r="0" b="635"/>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065" cy="9525"/>
                          <a:chOff x="0" y="0"/>
                          <a:chExt cx="1419" cy="15"/>
                        </a:xfrm>
                      </wpg:grpSpPr>
                      <wps:wsp>
                        <wps:cNvPr id="8" name="Line 4"/>
                        <wps:cNvCnPr>
                          <a:cxnSpLocks noChangeShapeType="1"/>
                        </wps:cNvCnPr>
                        <wps:spPr bwMode="auto">
                          <a:xfrm>
                            <a:off x="0" y="7"/>
                            <a:ext cx="140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Rectangle 3"/>
                        <wps:cNvSpPr>
                          <a:spLocks noChangeArrowheads="1"/>
                        </wps:cNvSpPr>
                        <wps:spPr bwMode="auto">
                          <a:xfrm>
                            <a:off x="1408" y="0"/>
                            <a:ext cx="1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59FEE7F" id="Group 2" o:spid="_x0000_s1026" style="width:70.95pt;height:.75pt;mso-position-horizontal-relative:char;mso-position-vertical-relative:line" coordsize="141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">
                <v:line id="Line 4" o:spid="_x0000_s1027" style="position:absolute;visibility:visible;mso-wrap-style:square" from="0,7" to="1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JAicIAAADaAAAADwAAAGRycy9kb3ducmV2LnhtbERPy2rCQBTdF/oPwy2400kVbUkzEREE&#10;6Urjo+3uNnObhGbuDJmpiX/vLIQuD+edLQfTigt1vrGs4HmSgCAurW64UnA8bMavIHxA1thaJgVX&#10;8rDMHx8yTLXteU+XIlQihrBPUUEdgkul9GVNBv3EOuLI/djOYIiwq6TusI/hppXTJFlIgw3Hhhod&#10;rWsqf4s/o+D7k/rT/ryaf7zMi+NpN3Pnr3en1OhpWL2BCDSEf/HdvdUK4tZ4Jd4Am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QJAicIAAADaAAAADwAAAAAAAAAAAAAA&#10;AAChAgAAZHJzL2Rvd25yZXYueG1sUEsFBgAAAAAEAAQA+QAAAJADAAAAAA==&#10;" strokeweight=".72pt"/>
                <v:rect id="Rectangle 3" o:spid="_x0000_s1028" style="position:absolute;left:1408;width:1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LSxsQA&#10;AADaAAAADwAAAGRycy9kb3ducmV2LnhtbESPQWvCQBSE74L/YXlCb7pRatE0q6gg9CJU20O9vWSf&#10;STD7Nu5uNfrru4VCj8PMfMNky8404krO15YVjEcJCOLC6ppLBZ8f2+EMhA/IGhvLpOBOHpaLfi/D&#10;VNsb7+l6CKWIEPYpKqhCaFMpfVGRQT+yLXH0TtYZDFG6UmqHtwg3jZwkyYs0WHNcqLClTUXF+fBt&#10;FKzns/Xl/Zl3j31+pONXfp5OXKLU06BbvYII1IX/8F/7TSuYw++Ve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y0sbEAAAA2gAAAA8AAAAAAAAAAAAAAAAAmAIAAGRycy9k&#10;b3ducmV2LnhtbFBLBQYAAAAABAAEAPUAAACJAwAAAAA=&#10;" fillcolor="black" stroked="f"/>
                <w10:anchorlock/>
              </v:group>
            </w:pict>
          </mc:Fallback>
        </mc:AlternateContent>
      </w:r>
    </w:p>
    <w:p w:rsidR="00AC1055" w:rsidRDefault="00AC1055">
      <w:r>
        <w:br w:type="page"/>
      </w:r>
    </w:p>
    <w:p w:rsidR="00C4310D" w:rsidRDefault="00C4310D" w:rsidP="00647B43">
      <w:pPr>
        <w:spacing w:before="183"/>
        <w:ind w:left="159"/>
        <w:rPr>
          <w:b/>
        </w:rPr>
        <w:sectPr w:rsidR="00C4310D" w:rsidSect="008A71C1">
          <w:pgSz w:w="15840" w:h="12240" w:orient="landscape"/>
          <w:pgMar w:top="1296" w:right="706" w:bottom="1296" w:left="274" w:header="0" w:footer="720" w:gutter="0"/>
          <w:cols w:space="720"/>
          <w:docGrid w:linePitch="299"/>
        </w:sectPr>
      </w:pPr>
    </w:p>
    <w:p w:rsidR="00647B43" w:rsidRPr="00921A07" w:rsidRDefault="00647B43" w:rsidP="00647B43">
      <w:pPr>
        <w:spacing w:before="183"/>
        <w:ind w:left="159"/>
        <w:rPr>
          <w:b/>
          <w:sz w:val="24"/>
          <w:szCs w:val="24"/>
        </w:rPr>
      </w:pPr>
      <w:r w:rsidRPr="00921A07">
        <w:rPr>
          <w:b/>
          <w:sz w:val="24"/>
          <w:szCs w:val="24"/>
        </w:rPr>
        <w:lastRenderedPageBreak/>
        <w:t>Total of expected PSMFC contract award agreement to the sub-contract awardees supporting the Snake Region’s Asotin I</w:t>
      </w:r>
      <w:r w:rsidR="00921A07" w:rsidRPr="00921A07">
        <w:rPr>
          <w:b/>
          <w:sz w:val="24"/>
          <w:szCs w:val="24"/>
        </w:rPr>
        <w:t xml:space="preserve">ntensively </w:t>
      </w:r>
      <w:r w:rsidRPr="00921A07">
        <w:rPr>
          <w:b/>
          <w:sz w:val="24"/>
          <w:szCs w:val="24"/>
        </w:rPr>
        <w:t>M</w:t>
      </w:r>
      <w:r w:rsidR="00921A07" w:rsidRPr="00921A07">
        <w:rPr>
          <w:b/>
          <w:sz w:val="24"/>
          <w:szCs w:val="24"/>
        </w:rPr>
        <w:t xml:space="preserve">onitored </w:t>
      </w:r>
      <w:r w:rsidRPr="00921A07">
        <w:rPr>
          <w:b/>
          <w:sz w:val="24"/>
          <w:szCs w:val="24"/>
        </w:rPr>
        <w:t>W</w:t>
      </w:r>
      <w:r w:rsidR="00921A07" w:rsidRPr="00921A07">
        <w:rPr>
          <w:b/>
          <w:sz w:val="24"/>
          <w:szCs w:val="24"/>
        </w:rPr>
        <w:t xml:space="preserve">atershed </w:t>
      </w:r>
    </w:p>
    <w:p w:rsidR="00647B43" w:rsidRDefault="00647B43" w:rsidP="00647B43">
      <w:pPr>
        <w:spacing w:before="183"/>
        <w:ind w:left="159"/>
        <w:rPr>
          <w:b/>
        </w:rPr>
      </w:pPr>
    </w:p>
    <w:p w:rsidR="00921A07" w:rsidRDefault="00921A07" w:rsidP="00647B43">
      <w:pPr>
        <w:spacing w:before="183"/>
        <w:ind w:left="159"/>
        <w:rPr>
          <w:b/>
        </w:rPr>
      </w:pPr>
    </w:p>
    <w:p w:rsidR="00647B43" w:rsidRDefault="00647B43" w:rsidP="00647B43">
      <w:pPr>
        <w:pStyle w:val="BodyText"/>
        <w:spacing w:before="12"/>
        <w:rPr>
          <w:b/>
          <w:sz w:val="6"/>
        </w:rPr>
      </w:pPr>
    </w:p>
    <w:tbl>
      <w:tblPr>
        <w:tblW w:w="0" w:type="auto"/>
        <w:tblInd w:w="116" w:type="dxa"/>
        <w:tblLayout w:type="fixed"/>
        <w:tblCellMar>
          <w:left w:w="0" w:type="dxa"/>
          <w:right w:w="0" w:type="dxa"/>
        </w:tblCellMar>
        <w:tblLook w:val="01E0" w:firstRow="1" w:lastRow="1" w:firstColumn="1" w:lastColumn="1" w:noHBand="0" w:noVBand="0"/>
      </w:tblPr>
      <w:tblGrid>
        <w:gridCol w:w="7554"/>
        <w:gridCol w:w="2068"/>
      </w:tblGrid>
      <w:tr w:rsidR="00647B43" w:rsidTr="00327F7A">
        <w:trPr>
          <w:trHeight w:val="265"/>
        </w:trPr>
        <w:tc>
          <w:tcPr>
            <w:tcW w:w="7554" w:type="dxa"/>
          </w:tcPr>
          <w:p w:rsidR="00921A07" w:rsidRDefault="00647B43" w:rsidP="00327F7A">
            <w:pPr>
              <w:pStyle w:val="TableParagraph"/>
              <w:tabs>
                <w:tab w:val="left" w:pos="2330"/>
              </w:tabs>
              <w:spacing w:line="225" w:lineRule="exact"/>
              <w:ind w:left="50"/>
              <w:rPr>
                <w:b/>
              </w:rPr>
            </w:pPr>
            <w:r>
              <w:rPr>
                <w:b/>
              </w:rPr>
              <w:t>EcoLogical</w:t>
            </w:r>
            <w:r>
              <w:rPr>
                <w:b/>
                <w:spacing w:val="-4"/>
              </w:rPr>
              <w:t xml:space="preserve"> </w:t>
            </w:r>
            <w:r>
              <w:rPr>
                <w:b/>
              </w:rPr>
              <w:t>Research</w:t>
            </w:r>
            <w:r>
              <w:rPr>
                <w:b/>
              </w:rPr>
              <w:tab/>
            </w:r>
          </w:p>
          <w:p w:rsidR="00D71A7F" w:rsidRDefault="00647B43" w:rsidP="000A3AE6">
            <w:pPr>
              <w:pStyle w:val="TableParagraph"/>
              <w:tabs>
                <w:tab w:val="left" w:pos="2330"/>
              </w:tabs>
              <w:spacing w:line="225" w:lineRule="exact"/>
              <w:ind w:left="50"/>
              <w:rPr>
                <w:b/>
              </w:rPr>
            </w:pPr>
            <w:r>
              <w:rPr>
                <w:b/>
              </w:rPr>
              <w:t xml:space="preserve">(RCO </w:t>
            </w:r>
            <w:r w:rsidR="00921A07">
              <w:rPr>
                <w:b/>
              </w:rPr>
              <w:t xml:space="preserve">new contract </w:t>
            </w:r>
            <w:r>
              <w:rPr>
                <w:b/>
              </w:rPr>
              <w:t>to ELR, PRISM</w:t>
            </w:r>
            <w:r>
              <w:rPr>
                <w:b/>
                <w:spacing w:val="-25"/>
              </w:rPr>
              <w:t xml:space="preserve"> </w:t>
            </w:r>
            <w:r w:rsidR="00921A07">
              <w:rPr>
                <w:b/>
              </w:rPr>
              <w:t>19-1545</w:t>
            </w:r>
            <w:r>
              <w:rPr>
                <w:b/>
              </w:rPr>
              <w:t>)</w:t>
            </w:r>
          </w:p>
          <w:p w:rsidR="00647B43" w:rsidRDefault="00921A07" w:rsidP="000A3AE6">
            <w:pPr>
              <w:pStyle w:val="TableParagraph"/>
              <w:tabs>
                <w:tab w:val="left" w:pos="2330"/>
              </w:tabs>
              <w:spacing w:line="225" w:lineRule="exact"/>
              <w:ind w:left="50"/>
              <w:rPr>
                <w:b/>
              </w:rPr>
            </w:pPr>
            <w:r>
              <w:rPr>
                <w:b/>
              </w:rPr>
              <w:t xml:space="preserve">                      </w:t>
            </w:r>
          </w:p>
        </w:tc>
        <w:tc>
          <w:tcPr>
            <w:tcW w:w="2068" w:type="dxa"/>
          </w:tcPr>
          <w:p w:rsidR="00647B43" w:rsidRDefault="00921A07" w:rsidP="00327F7A">
            <w:pPr>
              <w:pStyle w:val="TableParagraph"/>
              <w:spacing w:line="225" w:lineRule="exact"/>
              <w:ind w:left="537"/>
              <w:rPr>
                <w:b/>
              </w:rPr>
            </w:pPr>
            <w:r>
              <w:rPr>
                <w:b/>
              </w:rPr>
              <w:t>$244,014</w:t>
            </w:r>
          </w:p>
        </w:tc>
      </w:tr>
      <w:tr w:rsidR="00647B43" w:rsidTr="00327F7A">
        <w:trPr>
          <w:trHeight w:val="308"/>
        </w:trPr>
        <w:tc>
          <w:tcPr>
            <w:tcW w:w="7554" w:type="dxa"/>
          </w:tcPr>
          <w:p w:rsidR="000A3AE6" w:rsidRDefault="00647B43" w:rsidP="00921A07">
            <w:pPr>
              <w:pStyle w:val="TableParagraph"/>
              <w:tabs>
                <w:tab w:val="left" w:pos="2330"/>
              </w:tabs>
              <w:spacing w:before="1"/>
              <w:ind w:left="50"/>
              <w:rPr>
                <w:b/>
              </w:rPr>
            </w:pPr>
            <w:r>
              <w:rPr>
                <w:b/>
              </w:rPr>
              <w:t>WDFW</w:t>
            </w:r>
            <w:r>
              <w:rPr>
                <w:b/>
              </w:rPr>
              <w:tab/>
            </w:r>
          </w:p>
          <w:p w:rsidR="00647B43" w:rsidRDefault="00647B43" w:rsidP="00921A07">
            <w:pPr>
              <w:pStyle w:val="TableParagraph"/>
              <w:tabs>
                <w:tab w:val="left" w:pos="2330"/>
              </w:tabs>
              <w:spacing w:before="1"/>
              <w:ind w:left="50"/>
              <w:rPr>
                <w:b/>
              </w:rPr>
            </w:pPr>
            <w:r>
              <w:rPr>
                <w:b/>
              </w:rPr>
              <w:t xml:space="preserve">(RCO </w:t>
            </w:r>
            <w:r w:rsidR="00921A07">
              <w:rPr>
                <w:b/>
              </w:rPr>
              <w:t xml:space="preserve">new </w:t>
            </w:r>
            <w:r>
              <w:rPr>
                <w:b/>
              </w:rPr>
              <w:t xml:space="preserve">contract </w:t>
            </w:r>
            <w:r w:rsidR="00921A07">
              <w:rPr>
                <w:b/>
              </w:rPr>
              <w:t>t</w:t>
            </w:r>
            <w:r>
              <w:rPr>
                <w:b/>
              </w:rPr>
              <w:t>o WDFW, PRISM</w:t>
            </w:r>
            <w:r>
              <w:rPr>
                <w:b/>
                <w:spacing w:val="-26"/>
              </w:rPr>
              <w:t xml:space="preserve"> </w:t>
            </w:r>
            <w:r w:rsidR="00921A07">
              <w:rPr>
                <w:b/>
              </w:rPr>
              <w:t>18-2627</w:t>
            </w:r>
            <w:r>
              <w:rPr>
                <w:b/>
              </w:rPr>
              <w:t>)</w:t>
            </w:r>
          </w:p>
          <w:p w:rsidR="000A3AE6" w:rsidRDefault="000A3AE6" w:rsidP="00921A07">
            <w:pPr>
              <w:pStyle w:val="TableParagraph"/>
              <w:tabs>
                <w:tab w:val="left" w:pos="2330"/>
              </w:tabs>
              <w:spacing w:before="1"/>
              <w:ind w:left="50"/>
              <w:rPr>
                <w:b/>
              </w:rPr>
            </w:pPr>
          </w:p>
        </w:tc>
        <w:tc>
          <w:tcPr>
            <w:tcW w:w="2068" w:type="dxa"/>
          </w:tcPr>
          <w:p w:rsidR="00647B43" w:rsidRDefault="00647B43" w:rsidP="00327F7A">
            <w:pPr>
              <w:pStyle w:val="TableParagraph"/>
              <w:spacing w:before="1"/>
              <w:ind w:left="537"/>
              <w:rPr>
                <w:b/>
              </w:rPr>
            </w:pPr>
            <w:r>
              <w:rPr>
                <w:b/>
              </w:rPr>
              <w:t xml:space="preserve">    30,000</w:t>
            </w:r>
          </w:p>
        </w:tc>
      </w:tr>
      <w:tr w:rsidR="00647B43" w:rsidTr="00327F7A">
        <w:trPr>
          <w:trHeight w:val="309"/>
        </w:trPr>
        <w:tc>
          <w:tcPr>
            <w:tcW w:w="7554" w:type="dxa"/>
          </w:tcPr>
          <w:p w:rsidR="00647B43" w:rsidRDefault="000A3AE6" w:rsidP="00327F7A">
            <w:pPr>
              <w:pStyle w:val="TableParagraph"/>
              <w:spacing w:line="268" w:lineRule="exact"/>
              <w:ind w:left="50"/>
              <w:rPr>
                <w:b/>
              </w:rPr>
            </w:pPr>
            <w:r>
              <w:rPr>
                <w:b/>
              </w:rPr>
              <w:t>RCO p</w:t>
            </w:r>
            <w:r w:rsidR="00647B43">
              <w:rPr>
                <w:b/>
              </w:rPr>
              <w:t>rogram administrative suppor</w:t>
            </w:r>
            <w:r w:rsidR="00D71A7F">
              <w:rPr>
                <w:b/>
              </w:rPr>
              <w:t>t (utilities, phone line(s)</w:t>
            </w:r>
          </w:p>
          <w:p w:rsidR="00D71A7F" w:rsidRDefault="00D71A7F" w:rsidP="00327F7A">
            <w:pPr>
              <w:pStyle w:val="TableParagraph"/>
              <w:spacing w:line="268" w:lineRule="exact"/>
              <w:ind w:left="50"/>
              <w:rPr>
                <w:b/>
              </w:rPr>
            </w:pPr>
          </w:p>
          <w:p w:rsidR="00647B43" w:rsidRDefault="00647B43" w:rsidP="00327F7A">
            <w:pPr>
              <w:pStyle w:val="TableParagraph"/>
              <w:spacing w:line="268" w:lineRule="exact"/>
              <w:ind w:left="50"/>
              <w:rPr>
                <w:b/>
              </w:rPr>
            </w:pPr>
          </w:p>
          <w:p w:rsidR="00647B43" w:rsidRDefault="00647B43" w:rsidP="00327F7A">
            <w:pPr>
              <w:pStyle w:val="TableParagraph"/>
              <w:spacing w:line="268" w:lineRule="exact"/>
              <w:ind w:left="50"/>
              <w:rPr>
                <w:b/>
              </w:rPr>
            </w:pPr>
            <w:r>
              <w:rPr>
                <w:b/>
              </w:rPr>
              <w:t>sub-total of above</w:t>
            </w:r>
          </w:p>
          <w:p w:rsidR="00D71A7F" w:rsidRDefault="00D71A7F" w:rsidP="00327F7A">
            <w:pPr>
              <w:pStyle w:val="TableParagraph"/>
              <w:spacing w:line="268" w:lineRule="exact"/>
              <w:ind w:left="50"/>
              <w:rPr>
                <w:b/>
              </w:rPr>
            </w:pPr>
          </w:p>
        </w:tc>
        <w:tc>
          <w:tcPr>
            <w:tcW w:w="2068" w:type="dxa"/>
          </w:tcPr>
          <w:p w:rsidR="00647B43" w:rsidRDefault="00647B43" w:rsidP="00327F7A">
            <w:pPr>
              <w:pStyle w:val="TableParagraph"/>
              <w:spacing w:line="268" w:lineRule="exact"/>
              <w:ind w:left="537"/>
              <w:rPr>
                <w:b/>
              </w:rPr>
            </w:pPr>
            <w:r>
              <w:rPr>
                <w:b/>
              </w:rPr>
              <w:t xml:space="preserve">      5,500</w:t>
            </w:r>
          </w:p>
          <w:p w:rsidR="00D71A7F" w:rsidRDefault="00D71A7F" w:rsidP="00327F7A">
            <w:pPr>
              <w:pStyle w:val="TableParagraph"/>
              <w:spacing w:line="268" w:lineRule="exact"/>
              <w:ind w:left="537"/>
              <w:rPr>
                <w:b/>
              </w:rPr>
            </w:pPr>
          </w:p>
          <w:p w:rsidR="00647B43" w:rsidRDefault="00647B43" w:rsidP="00327F7A">
            <w:pPr>
              <w:pStyle w:val="TableParagraph"/>
              <w:spacing w:line="268" w:lineRule="exact"/>
              <w:ind w:left="537"/>
              <w:rPr>
                <w:b/>
              </w:rPr>
            </w:pPr>
          </w:p>
          <w:p w:rsidR="00647B43" w:rsidRDefault="00647B43" w:rsidP="00327F7A">
            <w:pPr>
              <w:pStyle w:val="TableParagraph"/>
              <w:spacing w:line="268" w:lineRule="exact"/>
              <w:ind w:left="537"/>
              <w:rPr>
                <w:b/>
              </w:rPr>
            </w:pPr>
            <w:r>
              <w:rPr>
                <w:b/>
              </w:rPr>
              <w:t xml:space="preserve">  279,514</w:t>
            </w:r>
          </w:p>
          <w:p w:rsidR="00D71A7F" w:rsidRDefault="00D71A7F" w:rsidP="00327F7A">
            <w:pPr>
              <w:pStyle w:val="TableParagraph"/>
              <w:spacing w:line="268" w:lineRule="exact"/>
              <w:ind w:left="537"/>
              <w:rPr>
                <w:b/>
              </w:rPr>
            </w:pPr>
          </w:p>
        </w:tc>
      </w:tr>
      <w:tr w:rsidR="00647B43" w:rsidTr="00327F7A">
        <w:trPr>
          <w:trHeight w:val="535"/>
        </w:trPr>
        <w:tc>
          <w:tcPr>
            <w:tcW w:w="7554" w:type="dxa"/>
          </w:tcPr>
          <w:p w:rsidR="00647B43" w:rsidRDefault="00647B43" w:rsidP="00327F7A">
            <w:pPr>
              <w:pStyle w:val="TableParagraph"/>
              <w:tabs>
                <w:tab w:val="left" w:pos="1466"/>
              </w:tabs>
              <w:spacing w:before="1"/>
              <w:ind w:left="50"/>
              <w:rPr>
                <w:b/>
              </w:rPr>
            </w:pPr>
            <w:r>
              <w:rPr>
                <w:b/>
              </w:rPr>
              <w:t>WARCO</w:t>
            </w:r>
            <w:r>
              <w:rPr>
                <w:b/>
                <w:spacing w:val="-2"/>
              </w:rPr>
              <w:t xml:space="preserve"> </w:t>
            </w:r>
            <w:r>
              <w:rPr>
                <w:b/>
              </w:rPr>
              <w:t>indirect</w:t>
            </w:r>
            <w:r>
              <w:rPr>
                <w:b/>
              </w:rPr>
              <w:tab/>
            </w:r>
            <w:r>
              <w:rPr>
                <w:b/>
                <w:spacing w:val="-4"/>
              </w:rPr>
              <w:t>4.12%</w:t>
            </w:r>
          </w:p>
        </w:tc>
        <w:tc>
          <w:tcPr>
            <w:tcW w:w="2068" w:type="dxa"/>
          </w:tcPr>
          <w:p w:rsidR="00647B43" w:rsidRDefault="00647B43" w:rsidP="00327F7A">
            <w:pPr>
              <w:pStyle w:val="TableParagraph"/>
              <w:spacing w:before="1"/>
              <w:ind w:left="537"/>
              <w:rPr>
                <w:b/>
              </w:rPr>
            </w:pPr>
            <w:r>
              <w:rPr>
                <w:b/>
              </w:rPr>
              <w:t xml:space="preserve">     11,486</w:t>
            </w:r>
          </w:p>
          <w:p w:rsidR="00647B43" w:rsidRDefault="00647B43" w:rsidP="00327F7A">
            <w:pPr>
              <w:pStyle w:val="TableParagraph"/>
              <w:spacing w:before="1"/>
              <w:ind w:left="537"/>
              <w:rPr>
                <w:b/>
              </w:rPr>
            </w:pPr>
          </w:p>
          <w:p w:rsidR="00647B43" w:rsidRDefault="00647B43" w:rsidP="00327F7A">
            <w:pPr>
              <w:pStyle w:val="TableParagraph"/>
              <w:spacing w:before="1" w:line="245" w:lineRule="exact"/>
              <w:rPr>
                <w:b/>
              </w:rPr>
            </w:pPr>
            <w:r>
              <w:rPr>
                <w:b/>
                <w:shd w:val="clear" w:color="auto" w:fill="FFFF00"/>
              </w:rPr>
              <w:t>TOTAL $291,000</w:t>
            </w:r>
          </w:p>
        </w:tc>
      </w:tr>
    </w:tbl>
    <w:p w:rsidR="00647B43" w:rsidRDefault="00647B43" w:rsidP="00647B43">
      <w:pPr>
        <w:spacing w:line="245" w:lineRule="exact"/>
      </w:pPr>
    </w:p>
    <w:p w:rsidR="00AC1055" w:rsidRDefault="00AC1055" w:rsidP="00AC1055">
      <w:pPr>
        <w:spacing w:before="158" w:line="259" w:lineRule="auto"/>
        <w:ind w:left="320" w:right="522"/>
      </w:pPr>
    </w:p>
    <w:p w:rsidR="00AC1055" w:rsidRDefault="00AC1055" w:rsidP="00AC1055">
      <w:pPr>
        <w:spacing w:before="158" w:line="259" w:lineRule="auto"/>
        <w:ind w:left="320" w:right="522"/>
      </w:pPr>
    </w:p>
    <w:p w:rsidR="00AC1055" w:rsidRDefault="00AC1055" w:rsidP="00AC1055">
      <w:pPr>
        <w:spacing w:before="158" w:line="259" w:lineRule="auto"/>
        <w:ind w:left="320" w:right="522"/>
      </w:pPr>
    </w:p>
    <w:p w:rsidR="00AC1055" w:rsidRDefault="00AC1055" w:rsidP="00AC1055">
      <w:pPr>
        <w:spacing w:before="158" w:line="259" w:lineRule="auto"/>
        <w:ind w:left="320" w:right="522"/>
      </w:pPr>
    </w:p>
    <w:p w:rsidR="00AC1055" w:rsidRDefault="00AC1055" w:rsidP="00AC1055">
      <w:pPr>
        <w:spacing w:before="158" w:line="259" w:lineRule="auto"/>
        <w:ind w:left="320" w:right="522"/>
      </w:pPr>
    </w:p>
    <w:p w:rsidR="00AC1055" w:rsidRDefault="00AC1055" w:rsidP="00AC1055">
      <w:pPr>
        <w:spacing w:before="158" w:line="259" w:lineRule="auto"/>
        <w:ind w:left="320" w:right="522"/>
      </w:pPr>
    </w:p>
    <w:p w:rsidR="00AC1055" w:rsidRDefault="00AC1055" w:rsidP="00AC1055">
      <w:pPr>
        <w:spacing w:before="158" w:line="259" w:lineRule="auto"/>
        <w:ind w:left="320" w:right="522"/>
      </w:pPr>
    </w:p>
    <w:p w:rsidR="00AC1055" w:rsidRDefault="00AC1055" w:rsidP="00AC1055">
      <w:pPr>
        <w:spacing w:before="158" w:line="259" w:lineRule="auto"/>
        <w:ind w:left="320" w:right="522"/>
      </w:pPr>
    </w:p>
    <w:p w:rsidR="00AC1055" w:rsidRDefault="00AC1055" w:rsidP="00AC1055">
      <w:pPr>
        <w:spacing w:before="158" w:line="259" w:lineRule="auto"/>
        <w:ind w:left="320" w:right="522"/>
      </w:pPr>
    </w:p>
    <w:p w:rsidR="00AC1055" w:rsidRDefault="00AC1055" w:rsidP="00AC1055">
      <w:pPr>
        <w:spacing w:before="158" w:line="259" w:lineRule="auto"/>
        <w:ind w:left="320" w:right="522"/>
      </w:pPr>
    </w:p>
    <w:p w:rsidR="00AC1055" w:rsidRDefault="00AC1055" w:rsidP="00AC1055">
      <w:pPr>
        <w:spacing w:before="158" w:line="259" w:lineRule="auto"/>
        <w:ind w:left="320" w:right="522"/>
      </w:pPr>
    </w:p>
    <w:p w:rsidR="00AC1055" w:rsidRDefault="00AC1055" w:rsidP="00AC1055">
      <w:pPr>
        <w:spacing w:before="158" w:line="259" w:lineRule="auto"/>
        <w:ind w:left="320" w:right="522"/>
      </w:pPr>
    </w:p>
    <w:p w:rsidR="00AC1055" w:rsidRDefault="00AC1055" w:rsidP="00AC1055">
      <w:pPr>
        <w:spacing w:before="158" w:line="259" w:lineRule="auto"/>
        <w:ind w:left="320" w:right="522"/>
      </w:pPr>
    </w:p>
    <w:p w:rsidR="00AC1055" w:rsidRDefault="00AC1055" w:rsidP="00AC1055">
      <w:pPr>
        <w:spacing w:before="158" w:line="259" w:lineRule="auto"/>
        <w:ind w:left="320" w:right="522"/>
      </w:pPr>
    </w:p>
    <w:p w:rsidR="00AC1055" w:rsidRPr="00874763" w:rsidRDefault="00AC1055" w:rsidP="00AC1055">
      <w:pPr>
        <w:spacing w:before="158" w:line="259" w:lineRule="auto"/>
        <w:ind w:left="320" w:right="522"/>
      </w:pPr>
      <w:r w:rsidRPr="00874763">
        <w:t>Keith Dublanica, Science Coordinator -  Washington Recreation and Conservation Office  / Governor’s</w:t>
      </w:r>
      <w:r>
        <w:t xml:space="preserve"> </w:t>
      </w:r>
      <w:r w:rsidRPr="00874763">
        <w:t xml:space="preserve">Salmon Recovery Office  /  360.902.2242 </w:t>
      </w:r>
      <w:r w:rsidRPr="00874763">
        <w:tab/>
      </w:r>
      <w:r w:rsidRPr="00874763">
        <w:rPr>
          <w:color w:val="0461C1"/>
          <w:u w:val="single" w:color="0461C1"/>
        </w:rPr>
        <w:t>keith.dublanica@gsro.wa.gov</w:t>
      </w:r>
    </w:p>
    <w:p w:rsidR="009D3D50" w:rsidRDefault="009D3D50">
      <w:pPr>
        <w:pStyle w:val="BodyText"/>
        <w:spacing w:before="5"/>
        <w:rPr>
          <w:sz w:val="10"/>
        </w:rPr>
      </w:pPr>
    </w:p>
    <w:sectPr w:rsidR="009D3D50" w:rsidSect="00C4310D">
      <w:pgSz w:w="12240" w:h="15840"/>
      <w:pgMar w:top="706" w:right="1296" w:bottom="274" w:left="1296" w:header="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B73" w:rsidRDefault="00A23B73">
      <w:r>
        <w:separator/>
      </w:r>
    </w:p>
  </w:endnote>
  <w:endnote w:type="continuationSeparator" w:id="0">
    <w:p w:rsidR="00A23B73" w:rsidRDefault="00A23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A7F" w:rsidRDefault="00D71A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D50" w:rsidRDefault="009D3D50">
    <w:pPr>
      <w:pStyle w:val="BodyText"/>
      <w:spacing w:line="14"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A7F" w:rsidRDefault="00D71A7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1C8" w:rsidRDefault="00B211C8" w:rsidP="008A71C1">
    <w:pPr>
      <w:spacing w:before="94" w:line="183" w:lineRule="exact"/>
      <w:ind w:left="140"/>
      <w:rPr>
        <w:rFonts w:ascii="Times New Roman"/>
        <w:b/>
        <w:sz w:val="16"/>
      </w:rPr>
    </w:pPr>
    <w:r>
      <w:rPr>
        <w:rFonts w:ascii="Times New Roman"/>
        <w:sz w:val="16"/>
      </w:rPr>
      <w:t>Statement of Work (SOW</w:t>
    </w:r>
    <w:r>
      <w:rPr>
        <w:rFonts w:ascii="Times New Roman"/>
        <w:b/>
        <w:sz w:val="16"/>
      </w:rPr>
      <w:t>)</w:t>
    </w:r>
    <w:r w:rsidRPr="00B211C8">
      <w:rPr>
        <w:rFonts w:ascii="Times New Roman"/>
        <w:sz w:val="16"/>
      </w:rPr>
      <w:t xml:space="preserve"> </w:t>
    </w:r>
    <w:r>
      <w:rPr>
        <w:rFonts w:ascii="Times New Roman"/>
        <w:sz w:val="16"/>
      </w:rPr>
      <w:t xml:space="preserve">to the Pacific States Marine Fisheries Commission (PSMFC) </w:t>
    </w:r>
    <w:r>
      <w:rPr>
        <w:rFonts w:ascii="Times New Roman"/>
        <w:sz w:val="16"/>
      </w:rPr>
      <w:t>–</w:t>
    </w:r>
    <w:r>
      <w:rPr>
        <w:rFonts w:ascii="Times New Roman"/>
        <w:sz w:val="16"/>
      </w:rPr>
      <w:t xml:space="preserve"> 4/30/19 </w:t>
    </w:r>
    <w:r w:rsidR="008A71C1">
      <w:rPr>
        <w:rFonts w:ascii="Times New Roman"/>
        <w:sz w:val="16"/>
      </w:rPr>
      <w:t xml:space="preserve">- </w:t>
    </w:r>
    <w:r>
      <w:rPr>
        <w:rFonts w:ascii="Times New Roman"/>
        <w:sz w:val="16"/>
      </w:rPr>
      <w:t>for the Asotin Intensi</w:t>
    </w:r>
    <w:r w:rsidR="008A71C1">
      <w:rPr>
        <w:rFonts w:ascii="Times New Roman"/>
        <w:sz w:val="16"/>
      </w:rPr>
      <w:t xml:space="preserve">vely Monitored Watershed in the </w:t>
    </w:r>
    <w:r>
      <w:rPr>
        <w:rFonts w:ascii="Times New Roman"/>
        <w:sz w:val="16"/>
      </w:rPr>
      <w:t>Snake River Salmon Recovery region, funded through the WA State Recreation and Conservation Office (RCO) 2019/2020</w:t>
    </w:r>
  </w:p>
  <w:p w:rsidR="00B211C8" w:rsidRDefault="00B211C8">
    <w:pPr>
      <w:pStyle w:val="Footer"/>
      <w:tabs>
        <w:tab w:val="clear" w:pos="4680"/>
        <w:tab w:val="clear" w:pos="9360"/>
      </w:tabs>
      <w:jc w:val="center"/>
      <w:rPr>
        <w:caps/>
        <w:noProof/>
        <w:color w:val="4F81BD" w:themeColor="accent1"/>
      </w:rPr>
    </w:pPr>
  </w:p>
  <w:p w:rsidR="00B211C8" w:rsidRDefault="00B211C8">
    <w:pPr>
      <w:pStyle w:val="BodyText"/>
      <w:spacing w:line="14" w:lineRule="auto"/>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1C1" w:rsidRDefault="008A71C1" w:rsidP="008A71C1">
    <w:pPr>
      <w:spacing w:before="94" w:line="183" w:lineRule="exact"/>
      <w:ind w:left="140"/>
      <w:rPr>
        <w:rFonts w:ascii="Times New Roman"/>
        <w:b/>
        <w:sz w:val="16"/>
      </w:rPr>
    </w:pPr>
    <w:r>
      <w:rPr>
        <w:rFonts w:ascii="Times New Roman"/>
        <w:sz w:val="16"/>
      </w:rPr>
      <w:t>Statement of Work (SOW</w:t>
    </w:r>
    <w:r>
      <w:rPr>
        <w:rFonts w:ascii="Times New Roman"/>
        <w:b/>
        <w:sz w:val="16"/>
      </w:rPr>
      <w:t>)</w:t>
    </w:r>
    <w:r w:rsidRPr="00B211C8">
      <w:rPr>
        <w:rFonts w:ascii="Times New Roman"/>
        <w:sz w:val="16"/>
      </w:rPr>
      <w:t xml:space="preserve"> </w:t>
    </w:r>
    <w:r>
      <w:rPr>
        <w:rFonts w:ascii="Times New Roman"/>
        <w:sz w:val="16"/>
      </w:rPr>
      <w:t xml:space="preserve">to the Pacific States Marine Fisheries Commission (PSMFC) </w:t>
    </w:r>
    <w:r>
      <w:rPr>
        <w:rFonts w:ascii="Times New Roman"/>
        <w:sz w:val="16"/>
      </w:rPr>
      <w:t>–</w:t>
    </w:r>
    <w:r>
      <w:rPr>
        <w:rFonts w:ascii="Times New Roman"/>
        <w:sz w:val="16"/>
      </w:rPr>
      <w:t xml:space="preserve"> 4/30/19 - for the Asotin Intensively Monitored Watershed in the Snake River Salmon Recovery region, funded through the WA State Recreation and Conservation Office (RCO) 2019/2020</w:t>
    </w:r>
  </w:p>
  <w:p w:rsidR="009D3D50" w:rsidRDefault="009D3D50">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B73" w:rsidRDefault="00A23B73">
      <w:r>
        <w:separator/>
      </w:r>
    </w:p>
  </w:footnote>
  <w:footnote w:type="continuationSeparator" w:id="0">
    <w:p w:rsidR="00A23B73" w:rsidRDefault="00A23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A7F" w:rsidRDefault="00D71A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5864757"/>
      <w:docPartObj>
        <w:docPartGallery w:val="Watermarks"/>
        <w:docPartUnique/>
      </w:docPartObj>
    </w:sdtPr>
    <w:sdtContent>
      <w:p w:rsidR="009D3D50" w:rsidRDefault="00D71A7F">
        <w:pPr>
          <w:pStyle w:val="BodyText"/>
          <w:spacing w:line="14" w:lineRule="aut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60"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A7F" w:rsidRDefault="00D71A7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D50" w:rsidRDefault="009D3D50">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B4D5C"/>
    <w:multiLevelType w:val="hybridMultilevel"/>
    <w:tmpl w:val="FB6E6706"/>
    <w:lvl w:ilvl="0" w:tplc="AC689570">
      <w:numFmt w:val="bullet"/>
      <w:lvlText w:val=""/>
      <w:lvlJc w:val="left"/>
      <w:pPr>
        <w:ind w:left="920" w:hanging="360"/>
      </w:pPr>
      <w:rPr>
        <w:rFonts w:ascii="Symbol" w:eastAsia="Symbol" w:hAnsi="Symbol" w:cs="Symbol" w:hint="default"/>
        <w:w w:val="99"/>
        <w:sz w:val="20"/>
        <w:szCs w:val="20"/>
        <w:lang w:val="en-US" w:eastAsia="en-US" w:bidi="en-US"/>
      </w:rPr>
    </w:lvl>
    <w:lvl w:ilvl="1" w:tplc="67C8CC9A">
      <w:numFmt w:val="bullet"/>
      <w:lvlText w:val="•"/>
      <w:lvlJc w:val="left"/>
      <w:pPr>
        <w:ind w:left="1828" w:hanging="360"/>
      </w:pPr>
      <w:rPr>
        <w:rFonts w:hint="default"/>
        <w:lang w:val="en-US" w:eastAsia="en-US" w:bidi="en-US"/>
      </w:rPr>
    </w:lvl>
    <w:lvl w:ilvl="2" w:tplc="BFF81E4A">
      <w:numFmt w:val="bullet"/>
      <w:lvlText w:val="•"/>
      <w:lvlJc w:val="left"/>
      <w:pPr>
        <w:ind w:left="2736" w:hanging="360"/>
      </w:pPr>
      <w:rPr>
        <w:rFonts w:hint="default"/>
        <w:lang w:val="en-US" w:eastAsia="en-US" w:bidi="en-US"/>
      </w:rPr>
    </w:lvl>
    <w:lvl w:ilvl="3" w:tplc="74C411BA">
      <w:numFmt w:val="bullet"/>
      <w:lvlText w:val="•"/>
      <w:lvlJc w:val="left"/>
      <w:pPr>
        <w:ind w:left="3644" w:hanging="360"/>
      </w:pPr>
      <w:rPr>
        <w:rFonts w:hint="default"/>
        <w:lang w:val="en-US" w:eastAsia="en-US" w:bidi="en-US"/>
      </w:rPr>
    </w:lvl>
    <w:lvl w:ilvl="4" w:tplc="8EDC0D96">
      <w:numFmt w:val="bullet"/>
      <w:lvlText w:val="•"/>
      <w:lvlJc w:val="left"/>
      <w:pPr>
        <w:ind w:left="4552" w:hanging="360"/>
      </w:pPr>
      <w:rPr>
        <w:rFonts w:hint="default"/>
        <w:lang w:val="en-US" w:eastAsia="en-US" w:bidi="en-US"/>
      </w:rPr>
    </w:lvl>
    <w:lvl w:ilvl="5" w:tplc="BA446820">
      <w:numFmt w:val="bullet"/>
      <w:lvlText w:val="•"/>
      <w:lvlJc w:val="left"/>
      <w:pPr>
        <w:ind w:left="5460" w:hanging="360"/>
      </w:pPr>
      <w:rPr>
        <w:rFonts w:hint="default"/>
        <w:lang w:val="en-US" w:eastAsia="en-US" w:bidi="en-US"/>
      </w:rPr>
    </w:lvl>
    <w:lvl w:ilvl="6" w:tplc="28281556">
      <w:numFmt w:val="bullet"/>
      <w:lvlText w:val="•"/>
      <w:lvlJc w:val="left"/>
      <w:pPr>
        <w:ind w:left="6368" w:hanging="360"/>
      </w:pPr>
      <w:rPr>
        <w:rFonts w:hint="default"/>
        <w:lang w:val="en-US" w:eastAsia="en-US" w:bidi="en-US"/>
      </w:rPr>
    </w:lvl>
    <w:lvl w:ilvl="7" w:tplc="07FC87C0">
      <w:numFmt w:val="bullet"/>
      <w:lvlText w:val="•"/>
      <w:lvlJc w:val="left"/>
      <w:pPr>
        <w:ind w:left="7276" w:hanging="360"/>
      </w:pPr>
      <w:rPr>
        <w:rFonts w:hint="default"/>
        <w:lang w:val="en-US" w:eastAsia="en-US" w:bidi="en-US"/>
      </w:rPr>
    </w:lvl>
    <w:lvl w:ilvl="8" w:tplc="482E8008">
      <w:numFmt w:val="bullet"/>
      <w:lvlText w:val="•"/>
      <w:lvlJc w:val="left"/>
      <w:pPr>
        <w:ind w:left="8184" w:hanging="360"/>
      </w:pPr>
      <w:rPr>
        <w:rFonts w:hint="default"/>
        <w:lang w:val="en-US" w:eastAsia="en-US" w:bidi="en-US"/>
      </w:rPr>
    </w:lvl>
  </w:abstractNum>
  <w:abstractNum w:abstractNumId="1" w15:restartNumberingAfterBreak="0">
    <w:nsid w:val="23B762BD"/>
    <w:multiLevelType w:val="hybridMultilevel"/>
    <w:tmpl w:val="95FA2130"/>
    <w:lvl w:ilvl="0" w:tplc="7B5AAA06">
      <w:numFmt w:val="bullet"/>
      <w:lvlText w:val=""/>
      <w:lvlJc w:val="left"/>
      <w:pPr>
        <w:ind w:left="362" w:hanging="360"/>
      </w:pPr>
      <w:rPr>
        <w:rFonts w:ascii="Symbol" w:eastAsia="Symbol" w:hAnsi="Symbol" w:cs="Symbol" w:hint="default"/>
        <w:w w:val="99"/>
        <w:sz w:val="20"/>
        <w:szCs w:val="20"/>
        <w:lang w:val="en-US" w:eastAsia="en-US" w:bidi="en-US"/>
      </w:rPr>
    </w:lvl>
    <w:lvl w:ilvl="1" w:tplc="3ADA3C76">
      <w:numFmt w:val="bullet"/>
      <w:lvlText w:val=""/>
      <w:lvlJc w:val="left"/>
      <w:pPr>
        <w:ind w:left="920" w:hanging="360"/>
      </w:pPr>
      <w:rPr>
        <w:rFonts w:ascii="Symbol" w:eastAsia="Symbol" w:hAnsi="Symbol" w:cs="Symbol" w:hint="default"/>
        <w:w w:val="99"/>
        <w:sz w:val="20"/>
        <w:szCs w:val="20"/>
        <w:lang w:val="en-US" w:eastAsia="en-US" w:bidi="en-US"/>
      </w:rPr>
    </w:lvl>
    <w:lvl w:ilvl="2" w:tplc="D91E114A">
      <w:numFmt w:val="bullet"/>
      <w:lvlText w:val="•"/>
      <w:lvlJc w:val="left"/>
      <w:pPr>
        <w:ind w:left="1866" w:hanging="360"/>
      </w:pPr>
      <w:rPr>
        <w:rFonts w:hint="default"/>
        <w:lang w:val="en-US" w:eastAsia="en-US" w:bidi="en-US"/>
      </w:rPr>
    </w:lvl>
    <w:lvl w:ilvl="3" w:tplc="91584EA8">
      <w:numFmt w:val="bullet"/>
      <w:lvlText w:val="•"/>
      <w:lvlJc w:val="left"/>
      <w:pPr>
        <w:ind w:left="2813" w:hanging="360"/>
      </w:pPr>
      <w:rPr>
        <w:rFonts w:hint="default"/>
        <w:lang w:val="en-US" w:eastAsia="en-US" w:bidi="en-US"/>
      </w:rPr>
    </w:lvl>
    <w:lvl w:ilvl="4" w:tplc="F6388DD6">
      <w:numFmt w:val="bullet"/>
      <w:lvlText w:val="•"/>
      <w:lvlJc w:val="left"/>
      <w:pPr>
        <w:ind w:left="3760" w:hanging="360"/>
      </w:pPr>
      <w:rPr>
        <w:rFonts w:hint="default"/>
        <w:lang w:val="en-US" w:eastAsia="en-US" w:bidi="en-US"/>
      </w:rPr>
    </w:lvl>
    <w:lvl w:ilvl="5" w:tplc="B62430A0">
      <w:numFmt w:val="bullet"/>
      <w:lvlText w:val="•"/>
      <w:lvlJc w:val="left"/>
      <w:pPr>
        <w:ind w:left="4707" w:hanging="360"/>
      </w:pPr>
      <w:rPr>
        <w:rFonts w:hint="default"/>
        <w:lang w:val="en-US" w:eastAsia="en-US" w:bidi="en-US"/>
      </w:rPr>
    </w:lvl>
    <w:lvl w:ilvl="6" w:tplc="D4D48A22">
      <w:numFmt w:val="bullet"/>
      <w:lvlText w:val="•"/>
      <w:lvlJc w:val="left"/>
      <w:pPr>
        <w:ind w:left="5654" w:hanging="360"/>
      </w:pPr>
      <w:rPr>
        <w:rFonts w:hint="default"/>
        <w:lang w:val="en-US" w:eastAsia="en-US" w:bidi="en-US"/>
      </w:rPr>
    </w:lvl>
    <w:lvl w:ilvl="7" w:tplc="9F2E305C">
      <w:numFmt w:val="bullet"/>
      <w:lvlText w:val="•"/>
      <w:lvlJc w:val="left"/>
      <w:pPr>
        <w:ind w:left="6601" w:hanging="360"/>
      </w:pPr>
      <w:rPr>
        <w:rFonts w:hint="default"/>
        <w:lang w:val="en-US" w:eastAsia="en-US" w:bidi="en-US"/>
      </w:rPr>
    </w:lvl>
    <w:lvl w:ilvl="8" w:tplc="9BDA99B6">
      <w:numFmt w:val="bullet"/>
      <w:lvlText w:val="•"/>
      <w:lvlJc w:val="left"/>
      <w:pPr>
        <w:ind w:left="7548" w:hanging="36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D50"/>
    <w:rsid w:val="000A3AE6"/>
    <w:rsid w:val="000E5FA9"/>
    <w:rsid w:val="000E698E"/>
    <w:rsid w:val="00204631"/>
    <w:rsid w:val="002F18C1"/>
    <w:rsid w:val="00355FCF"/>
    <w:rsid w:val="003E24E9"/>
    <w:rsid w:val="004E6446"/>
    <w:rsid w:val="005212C2"/>
    <w:rsid w:val="005E7257"/>
    <w:rsid w:val="00647B43"/>
    <w:rsid w:val="00654AC6"/>
    <w:rsid w:val="006A33CB"/>
    <w:rsid w:val="006B3321"/>
    <w:rsid w:val="00740356"/>
    <w:rsid w:val="007A1A9F"/>
    <w:rsid w:val="00874763"/>
    <w:rsid w:val="008A71C1"/>
    <w:rsid w:val="00921A07"/>
    <w:rsid w:val="00932FC6"/>
    <w:rsid w:val="00987280"/>
    <w:rsid w:val="009D3D50"/>
    <w:rsid w:val="009E23A2"/>
    <w:rsid w:val="00A23B73"/>
    <w:rsid w:val="00AC1055"/>
    <w:rsid w:val="00AE3FDC"/>
    <w:rsid w:val="00AF0170"/>
    <w:rsid w:val="00B211C8"/>
    <w:rsid w:val="00BA081F"/>
    <w:rsid w:val="00C4310D"/>
    <w:rsid w:val="00CD5FF6"/>
    <w:rsid w:val="00D20DA2"/>
    <w:rsid w:val="00D34BCB"/>
    <w:rsid w:val="00D71A7F"/>
    <w:rsid w:val="00EB2474"/>
    <w:rsid w:val="00EE7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docId w15:val="{72929FD7-EFA9-49ED-9577-63604E27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302"/>
      <w:jc w:val="center"/>
      <w:outlineLvl w:val="0"/>
    </w:pPr>
    <w:rPr>
      <w:b/>
      <w:bCs/>
      <w:sz w:val="28"/>
      <w:szCs w:val="28"/>
    </w:rPr>
  </w:style>
  <w:style w:type="paragraph" w:styleId="Heading2">
    <w:name w:val="heading 2"/>
    <w:basedOn w:val="Normal"/>
    <w:uiPriority w:val="1"/>
    <w:qFormat/>
    <w:pPr>
      <w:spacing w:before="1"/>
      <w:ind w:left="200"/>
      <w:outlineLvl w:val="1"/>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36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E23A2"/>
    <w:pPr>
      <w:tabs>
        <w:tab w:val="center" w:pos="4680"/>
        <w:tab w:val="right" w:pos="9360"/>
      </w:tabs>
    </w:pPr>
  </w:style>
  <w:style w:type="character" w:customStyle="1" w:styleId="HeaderChar">
    <w:name w:val="Header Char"/>
    <w:basedOn w:val="DefaultParagraphFont"/>
    <w:link w:val="Header"/>
    <w:uiPriority w:val="99"/>
    <w:rsid w:val="009E23A2"/>
    <w:rPr>
      <w:rFonts w:ascii="Calibri" w:eastAsia="Calibri" w:hAnsi="Calibri" w:cs="Calibri"/>
      <w:lang w:bidi="en-US"/>
    </w:rPr>
  </w:style>
  <w:style w:type="paragraph" w:styleId="Footer">
    <w:name w:val="footer"/>
    <w:basedOn w:val="Normal"/>
    <w:link w:val="FooterChar"/>
    <w:uiPriority w:val="99"/>
    <w:unhideWhenUsed/>
    <w:rsid w:val="009E23A2"/>
    <w:pPr>
      <w:tabs>
        <w:tab w:val="center" w:pos="4680"/>
        <w:tab w:val="right" w:pos="9360"/>
      </w:tabs>
    </w:pPr>
  </w:style>
  <w:style w:type="character" w:customStyle="1" w:styleId="FooterChar">
    <w:name w:val="Footer Char"/>
    <w:basedOn w:val="DefaultParagraphFont"/>
    <w:link w:val="Footer"/>
    <w:uiPriority w:val="99"/>
    <w:rsid w:val="009E23A2"/>
    <w:rPr>
      <w:rFonts w:ascii="Calibri" w:eastAsia="Calibri" w:hAnsi="Calibri" w:cs="Calibri"/>
      <w:lang w:bidi="en-US"/>
    </w:rPr>
  </w:style>
  <w:style w:type="table" w:styleId="TableGrid">
    <w:name w:val="Table Grid"/>
    <w:basedOn w:val="TableNormal"/>
    <w:uiPriority w:val="39"/>
    <w:rsid w:val="00647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497491">
      <w:bodyDiv w:val="1"/>
      <w:marLeft w:val="0"/>
      <w:marRight w:val="0"/>
      <w:marTop w:val="0"/>
      <w:marBottom w:val="0"/>
      <w:divBdr>
        <w:top w:val="none" w:sz="0" w:space="0" w:color="auto"/>
        <w:left w:val="none" w:sz="0" w:space="0" w:color="auto"/>
        <w:bottom w:val="none" w:sz="0" w:space="0" w:color="auto"/>
        <w:right w:val="none" w:sz="0" w:space="0" w:color="auto"/>
      </w:divBdr>
    </w:div>
    <w:div w:id="736977271">
      <w:bodyDiv w:val="1"/>
      <w:marLeft w:val="0"/>
      <w:marRight w:val="0"/>
      <w:marTop w:val="0"/>
      <w:marBottom w:val="0"/>
      <w:divBdr>
        <w:top w:val="none" w:sz="0" w:space="0" w:color="auto"/>
        <w:left w:val="none" w:sz="0" w:space="0" w:color="auto"/>
        <w:bottom w:val="none" w:sz="0" w:space="0" w:color="auto"/>
        <w:right w:val="none" w:sz="0" w:space="0" w:color="auto"/>
      </w:divBdr>
    </w:div>
    <w:div w:id="1358772970">
      <w:bodyDiv w:val="1"/>
      <w:marLeft w:val="0"/>
      <w:marRight w:val="0"/>
      <w:marTop w:val="0"/>
      <w:marBottom w:val="0"/>
      <w:divBdr>
        <w:top w:val="none" w:sz="0" w:space="0" w:color="auto"/>
        <w:left w:val="none" w:sz="0" w:space="0" w:color="auto"/>
        <w:bottom w:val="none" w:sz="0" w:space="0" w:color="auto"/>
        <w:right w:val="none" w:sz="0" w:space="0" w:color="auto"/>
      </w:divBdr>
    </w:div>
    <w:div w:id="1461608252">
      <w:bodyDiv w:val="1"/>
      <w:marLeft w:val="0"/>
      <w:marRight w:val="0"/>
      <w:marTop w:val="0"/>
      <w:marBottom w:val="0"/>
      <w:divBdr>
        <w:top w:val="none" w:sz="0" w:space="0" w:color="auto"/>
        <w:left w:val="none" w:sz="0" w:space="0" w:color="auto"/>
        <w:bottom w:val="none" w:sz="0" w:space="0" w:color="auto"/>
        <w:right w:val="none" w:sz="0" w:space="0" w:color="auto"/>
      </w:divBdr>
    </w:div>
    <w:div w:id="1548570424">
      <w:bodyDiv w:val="1"/>
      <w:marLeft w:val="0"/>
      <w:marRight w:val="0"/>
      <w:marTop w:val="0"/>
      <w:marBottom w:val="0"/>
      <w:divBdr>
        <w:top w:val="none" w:sz="0" w:space="0" w:color="auto"/>
        <w:left w:val="none" w:sz="0" w:space="0" w:color="auto"/>
        <w:bottom w:val="none" w:sz="0" w:space="0" w:color="auto"/>
        <w:right w:val="none" w:sz="0" w:space="0" w:color="auto"/>
      </w:divBdr>
    </w:div>
    <w:div w:id="1894537858">
      <w:bodyDiv w:val="1"/>
      <w:marLeft w:val="0"/>
      <w:marRight w:val="0"/>
      <w:marTop w:val="0"/>
      <w:marBottom w:val="0"/>
      <w:divBdr>
        <w:top w:val="none" w:sz="0" w:space="0" w:color="auto"/>
        <w:left w:val="none" w:sz="0" w:space="0" w:color="auto"/>
        <w:bottom w:val="none" w:sz="0" w:space="0" w:color="auto"/>
        <w:right w:val="none" w:sz="0" w:space="0" w:color="auto"/>
      </w:divBdr>
    </w:div>
    <w:div w:id="2042048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155"/>
    <w:rsid w:val="004E266E"/>
    <w:rsid w:val="007B6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309326C9F34E97921D7E8EA7E4664B">
    <w:name w:val="BD309326C9F34E97921D7E8EA7E4664B"/>
    <w:rsid w:val="007B61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404</TotalTime>
  <Pages>7</Pages>
  <Words>2368</Words>
  <Characters>13498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Recreation and Conservation Office</Company>
  <LinksUpToDate>false</LinksUpToDate>
  <CharactersWithSpaces>15835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Dublanica, Keith (RCO)</dc:creator>
  <cp:lastModifiedBy>Dublanica, Keith (RCO)</cp:lastModifiedBy>
  <cp:revision>16</cp:revision>
  <dcterms:created xsi:type="dcterms:W3CDTF">2019-04-30T15:40:00Z</dcterms:created>
  <dcterms:modified xsi:type="dcterms:W3CDTF">2019-04-30T22:34:00Z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2018-06-08T00:00:00Z</vt:filetime>
  </property>
  <property fmtid="{D5CDD505-2E9C-101B-9397-08002B2CF9AE}" pid="3" name="Creator">
    <vt:lpwstr>Microsoft® Word 2013</vt:lpwstr>
  </property>
  <property fmtid="{D5CDD505-2E9C-101B-9397-08002B2CF9AE}" pid="4" name="LastSaved">
    <vt:filetime>2019-04-30T00:00:00Z</vt:filetime>
  </property>
</Properties>
</file>