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A1F" w:rsidRPr="004F6A1F" w:rsidRDefault="004F6A1F" w:rsidP="004F6A1F">
      <w:pPr>
        <w:jc w:val="center"/>
        <w:rPr>
          <w:sz w:val="28"/>
          <w:szCs w:val="28"/>
        </w:rPr>
      </w:pPr>
      <w:r w:rsidRPr="004F6A1F">
        <w:rPr>
          <w:sz w:val="28"/>
          <w:szCs w:val="28"/>
        </w:rPr>
        <w:t>Cann Bridge 2013 Monitoring Report</w:t>
      </w:r>
    </w:p>
    <w:p w:rsidR="004F6A1F" w:rsidRDefault="004F6A1F" w:rsidP="004F6A1F">
      <w:pPr>
        <w:jc w:val="center"/>
        <w:rPr>
          <w:b/>
        </w:rPr>
      </w:pPr>
      <w:r w:rsidRPr="004F6A1F">
        <w:rPr>
          <w:b/>
        </w:rPr>
        <w:drawing>
          <wp:inline distT="0" distB="0" distL="0" distR="0">
            <wp:extent cx="4646940" cy="3486150"/>
            <wp:effectExtent l="19050" t="0" r="1260" b="0"/>
            <wp:docPr id="20" name="Picture 1" descr="N:\common\MONITORING\Access_Projects\Cann\Post_project_photos\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MONITORING\Access_Projects\Cann\Post_project_photos\IMG_0468.jpg"/>
                    <pic:cNvPicPr>
                      <a:picLocks noChangeAspect="1" noChangeArrowheads="1"/>
                    </pic:cNvPicPr>
                  </pic:nvPicPr>
                  <pic:blipFill>
                    <a:blip r:embed="rId6" cstate="print"/>
                    <a:srcRect/>
                    <a:stretch>
                      <a:fillRect/>
                    </a:stretch>
                  </pic:blipFill>
                  <pic:spPr bwMode="auto">
                    <a:xfrm>
                      <a:off x="0" y="0"/>
                      <a:ext cx="4648200" cy="3487096"/>
                    </a:xfrm>
                    <a:prstGeom prst="rect">
                      <a:avLst/>
                    </a:prstGeom>
                    <a:noFill/>
                    <a:ln w="9525">
                      <a:noFill/>
                      <a:miter lim="800000"/>
                      <a:headEnd/>
                      <a:tailEnd/>
                    </a:ln>
                  </pic:spPr>
                </pic:pic>
              </a:graphicData>
            </a:graphic>
          </wp:inline>
        </w:drawing>
      </w:r>
    </w:p>
    <w:p w:rsidR="004F6A1F" w:rsidRDefault="004F6A1F" w:rsidP="004F6A1F">
      <w:pPr>
        <w:jc w:val="center"/>
        <w:rPr>
          <w:sz w:val="28"/>
          <w:szCs w:val="28"/>
        </w:rPr>
      </w:pPr>
      <w:r>
        <w:rPr>
          <w:sz w:val="28"/>
          <w:szCs w:val="28"/>
        </w:rPr>
        <w:t>Prepared by: Chelan County Natural Resources Department</w:t>
      </w:r>
    </w:p>
    <w:p w:rsidR="004F6A1F" w:rsidRDefault="004F6A1F" w:rsidP="004F6A1F">
      <w:pPr>
        <w:jc w:val="center"/>
        <w:rPr>
          <w:b/>
        </w:rPr>
      </w:pPr>
      <w:r>
        <w:rPr>
          <w:sz w:val="28"/>
          <w:szCs w:val="28"/>
        </w:rPr>
        <w:t>Adrienne Roumasset</w:t>
      </w:r>
      <w:r>
        <w:rPr>
          <w:b/>
        </w:rPr>
        <w:br w:type="page"/>
      </w:r>
    </w:p>
    <w:p w:rsidR="00C16E69" w:rsidRDefault="00C16E69" w:rsidP="00C16E69">
      <w:pPr>
        <w:rPr>
          <w:b/>
        </w:rPr>
      </w:pPr>
      <w:r>
        <w:rPr>
          <w:b/>
        </w:rPr>
        <w:lastRenderedPageBreak/>
        <w:t>Introduction/Background</w:t>
      </w:r>
    </w:p>
    <w:p w:rsidR="00C16E69" w:rsidRDefault="00C16E69" w:rsidP="00C16E69">
      <w:r>
        <w:rPr>
          <w:b/>
        </w:rPr>
        <w:tab/>
      </w:r>
      <w:r>
        <w:t xml:space="preserve">The Cann Bridge  project removed a fish passage barrier on Chumstick Creek  river mile 8.59 as part of the Chumstick Barrier Removal project – a multi-agency partnership that removed  all 30 Chumstick Creek fish passage barriers between RM 0.28 to RM 8.6 (26 culvert barriers and 4 irrigation dams) from 2001-2013. The Cann Bridge project was completed in 2012 and consisted of replacing a partial barrier culvert with a bridge, thus providing ESA listed salmonid species with complete access to upper reaches of Chumstick Creek. </w:t>
      </w:r>
    </w:p>
    <w:p w:rsidR="00C16E69" w:rsidRDefault="00C16E69" w:rsidP="00C16E69">
      <w:r>
        <w:tab/>
        <w:t xml:space="preserve">Chumstick Creek is historical spawning and rearing habitat of steelhead, Bulltrout, and Coho salmon. The overall objective of the Chumstick Barrier Removal project was to reopen habitat and reinstate migration of these species into Chumstick Creek. The specific goals of the Cann Barrier removal project is to 1)replace the culvert with a concrete bridge to provide salmonids with access to reaches above RM 8.51 2) re-vegetate the work area to provide a diverse riparian habitat. The goal of monitoring Cann Bridge is to assess whether these goals are being met. Observations and data collected will be used to recommend adaptive management actions as needed to meet project objectives. </w:t>
      </w:r>
    </w:p>
    <w:p w:rsidR="00C16E69" w:rsidRDefault="00C16E69" w:rsidP="00C16E69">
      <w:pPr>
        <w:rPr>
          <w:b/>
        </w:rPr>
      </w:pPr>
      <w:r>
        <w:rPr>
          <w:b/>
        </w:rPr>
        <w:t>Monitoring Methods</w:t>
      </w:r>
    </w:p>
    <w:p w:rsidR="00C16E69" w:rsidRDefault="00C16E69" w:rsidP="00C16E69">
      <w:r>
        <w:tab/>
        <w:t>CCNRD staff visited the site on June 5</w:t>
      </w:r>
      <w:r w:rsidRPr="002D2D6D">
        <w:rPr>
          <w:vertAlign w:val="superscript"/>
        </w:rPr>
        <w:t>th</w:t>
      </w:r>
      <w:r>
        <w:t>, 2013 and August 16</w:t>
      </w:r>
      <w:r w:rsidRPr="00F923D7">
        <w:rPr>
          <w:vertAlign w:val="superscript"/>
        </w:rPr>
        <w:t>th</w:t>
      </w:r>
      <w:r>
        <w:t xml:space="preserve">, 2013 and estimated flow to be approximately 10 cfs and 3 cfs (baseflow) respectively during the June and August visits. Exact flow is unknown due to malfunctions with the DOE gage. Specific monitoring goals during the site visits were to 1) Document channel and bridge condition 2) assess the status of riparian revegetation. Fish passage through the three pit tag arrays in 2013 is also reported. </w:t>
      </w:r>
    </w:p>
    <w:p w:rsidR="00C16E69" w:rsidRDefault="00C16E69" w:rsidP="00C16E69">
      <w:pPr>
        <w:rPr>
          <w:i/>
        </w:rPr>
      </w:pPr>
      <w:r>
        <w:rPr>
          <w:i/>
        </w:rPr>
        <w:t>Channel and Bridge Monitoring</w:t>
      </w:r>
    </w:p>
    <w:p w:rsidR="00C16E69" w:rsidRDefault="00C16E69" w:rsidP="00C16E69">
      <w:r>
        <w:rPr>
          <w:i/>
        </w:rPr>
        <w:tab/>
      </w:r>
      <w:r>
        <w:t>CCNRD staff established photo points post-construction in 2012. Pictures were repeated during the June 5th visit but lost due to a corrupted file, so only post-construction photos are available. CCNRD staff documented bridge condition and any erosion or deposition issues during the June 5</w:t>
      </w:r>
      <w:r w:rsidRPr="00B13173">
        <w:rPr>
          <w:vertAlign w:val="superscript"/>
        </w:rPr>
        <w:t>th</w:t>
      </w:r>
      <w:r>
        <w:t xml:space="preserve"> visit. </w:t>
      </w:r>
    </w:p>
    <w:p w:rsidR="00C16E69" w:rsidRDefault="00C16E69" w:rsidP="00C16E69">
      <w:r>
        <w:rPr>
          <w:i/>
        </w:rPr>
        <w:t>Riparian Monitoring</w:t>
      </w:r>
    </w:p>
    <w:p w:rsidR="00C16E69" w:rsidRDefault="00C16E69" w:rsidP="00C16E69">
      <w:r>
        <w:tab/>
        <w:t>CCNRD staff performed stem counts throughout the planted area on August 16</w:t>
      </w:r>
      <w:r w:rsidRPr="0091752E">
        <w:rPr>
          <w:vertAlign w:val="superscript"/>
        </w:rPr>
        <w:t>th</w:t>
      </w:r>
      <w:r>
        <w:t xml:space="preserve"> 2013. The planted area was divided into northwest, southwest, northeast, and southeast quadrants (NE, SW, NE, SE).Total plants from the stem count were divided by total plants installed in 2012 and 2013 (available in planting plan) to calculate plant survival. Percent native shrub cover of each quadrant was visually estimated and invasive species were documented.</w:t>
      </w:r>
    </w:p>
    <w:p w:rsidR="00C16E69" w:rsidRDefault="00C16E69" w:rsidP="00C16E69">
      <w:pPr>
        <w:rPr>
          <w:i/>
        </w:rPr>
      </w:pPr>
      <w:r>
        <w:rPr>
          <w:i/>
        </w:rPr>
        <w:t>Fish Passage</w:t>
      </w:r>
    </w:p>
    <w:p w:rsidR="00C16E69" w:rsidRDefault="00C16E69" w:rsidP="00C16E69">
      <w:r>
        <w:tab/>
        <w:t>A pit tag array near the mouth of Chumstick creek at north road (RM 0.28) has monitored fish passage into the creek since 2010. Two additional arrays were installed in March of 2013 to monitor adult fish passage at Sunitch creek (RM 5.3) and Merry creek (RM 8.82). 2013 fish detections are reported here.</w:t>
      </w:r>
    </w:p>
    <w:p w:rsidR="00C16E69" w:rsidRDefault="00C16E69" w:rsidP="00C16E69">
      <w:pPr>
        <w:rPr>
          <w:i/>
        </w:rPr>
      </w:pPr>
      <w:r>
        <w:rPr>
          <w:i/>
        </w:rPr>
        <w:lastRenderedPageBreak/>
        <w:t>Channel and Bridge Monitoring</w:t>
      </w:r>
    </w:p>
    <w:p w:rsidR="00C16E69" w:rsidRDefault="00C16E69" w:rsidP="00C16E69">
      <w:r>
        <w:tab/>
        <w:t>CCNRD staff observed no structural issues with the bridge, bank erosion or sediment deposition around the project. Aside from an increase in riparian cover (see next section) no notable changes from post-construction photos were observed (Figure 1).</w:t>
      </w:r>
    </w:p>
    <w:p w:rsidR="00C16E69" w:rsidRDefault="00C16E69" w:rsidP="00C16E69">
      <w:r>
        <w:t>Figure 1. Post-construction photos, Fall 2012</w:t>
      </w:r>
    </w:p>
    <w:p w:rsidR="008D55A2" w:rsidRDefault="008D55A2" w:rsidP="00C16E69">
      <w:r w:rsidRPr="008D55A2">
        <w:drawing>
          <wp:inline distT="0" distB="0" distL="0" distR="0">
            <wp:extent cx="2894815" cy="2171700"/>
            <wp:effectExtent l="19050" t="0" r="785" b="0"/>
            <wp:docPr id="13" name="Picture 1" descr="N:\common\MONITORING\Access_Projects\Cann\Post_project_photos\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MONITORING\Access_Projects\Cann\Post_project_photos\IMG_0468.jpg"/>
                    <pic:cNvPicPr>
                      <a:picLocks noChangeAspect="1" noChangeArrowheads="1"/>
                    </pic:cNvPicPr>
                  </pic:nvPicPr>
                  <pic:blipFill>
                    <a:blip r:embed="rId6" cstate="print"/>
                    <a:srcRect/>
                    <a:stretch>
                      <a:fillRect/>
                    </a:stretch>
                  </pic:blipFill>
                  <pic:spPr bwMode="auto">
                    <a:xfrm>
                      <a:off x="0" y="0"/>
                      <a:ext cx="2895600" cy="2172289"/>
                    </a:xfrm>
                    <a:prstGeom prst="rect">
                      <a:avLst/>
                    </a:prstGeom>
                    <a:noFill/>
                    <a:ln w="9525">
                      <a:noFill/>
                      <a:miter lim="800000"/>
                      <a:headEnd/>
                      <a:tailEnd/>
                    </a:ln>
                  </pic:spPr>
                </pic:pic>
              </a:graphicData>
            </a:graphic>
          </wp:inline>
        </w:drawing>
      </w:r>
      <w:r>
        <w:t xml:space="preserve"> </w:t>
      </w:r>
      <w:r w:rsidRPr="008D55A2">
        <w:drawing>
          <wp:inline distT="0" distB="0" distL="0" distR="0">
            <wp:extent cx="2869422" cy="2152650"/>
            <wp:effectExtent l="19050" t="0" r="7128" b="0"/>
            <wp:docPr id="14" name="Picture 2" descr="N:\common\MONITORING\Access_Projects\Cann\Post_project_photos\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mmon\MONITORING\Access_Projects\Cann\Post_project_photos\IMG_0469.jpg"/>
                    <pic:cNvPicPr>
                      <a:picLocks noChangeAspect="1" noChangeArrowheads="1"/>
                    </pic:cNvPicPr>
                  </pic:nvPicPr>
                  <pic:blipFill>
                    <a:blip r:embed="rId7" cstate="print"/>
                    <a:srcRect/>
                    <a:stretch>
                      <a:fillRect/>
                    </a:stretch>
                  </pic:blipFill>
                  <pic:spPr bwMode="auto">
                    <a:xfrm>
                      <a:off x="0" y="0"/>
                      <a:ext cx="2870200" cy="2153234"/>
                    </a:xfrm>
                    <a:prstGeom prst="rect">
                      <a:avLst/>
                    </a:prstGeom>
                    <a:noFill/>
                    <a:ln w="9525">
                      <a:noFill/>
                      <a:miter lim="800000"/>
                      <a:headEnd/>
                      <a:tailEnd/>
                    </a:ln>
                  </pic:spPr>
                </pic:pic>
              </a:graphicData>
            </a:graphic>
          </wp:inline>
        </w:drawing>
      </w:r>
    </w:p>
    <w:p w:rsidR="008D55A2" w:rsidRDefault="008D55A2" w:rsidP="00C16E69">
      <w:r>
        <w:t>PP1</w:t>
      </w:r>
      <w:r>
        <w:tab/>
      </w:r>
      <w:r>
        <w:tab/>
      </w:r>
      <w:r>
        <w:tab/>
      </w:r>
      <w:r>
        <w:tab/>
      </w:r>
      <w:r>
        <w:tab/>
      </w:r>
      <w:r>
        <w:tab/>
        <w:t xml:space="preserve">        PP2</w:t>
      </w:r>
    </w:p>
    <w:p w:rsidR="008D55A2" w:rsidRDefault="008D55A2" w:rsidP="00C16E69">
      <w:r w:rsidRPr="008D55A2">
        <w:drawing>
          <wp:inline distT="0" distB="0" distL="0" distR="0">
            <wp:extent cx="2932904" cy="2200275"/>
            <wp:effectExtent l="19050" t="0" r="796" b="0"/>
            <wp:docPr id="15" name="Picture 3" descr="N:\common\MONITORING\Access_Projects\Cann\Post_project_photos\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mmon\MONITORING\Access_Projects\Cann\Post_project_photos\IMG_0470.jpg"/>
                    <pic:cNvPicPr>
                      <a:picLocks noChangeAspect="1" noChangeArrowheads="1"/>
                    </pic:cNvPicPr>
                  </pic:nvPicPr>
                  <pic:blipFill>
                    <a:blip r:embed="rId8" cstate="print"/>
                    <a:srcRect/>
                    <a:stretch>
                      <a:fillRect/>
                    </a:stretch>
                  </pic:blipFill>
                  <pic:spPr bwMode="auto">
                    <a:xfrm>
                      <a:off x="0" y="0"/>
                      <a:ext cx="2933699" cy="2200872"/>
                    </a:xfrm>
                    <a:prstGeom prst="rect">
                      <a:avLst/>
                    </a:prstGeom>
                    <a:noFill/>
                    <a:ln w="9525">
                      <a:noFill/>
                      <a:miter lim="800000"/>
                      <a:headEnd/>
                      <a:tailEnd/>
                    </a:ln>
                  </pic:spPr>
                </pic:pic>
              </a:graphicData>
            </a:graphic>
          </wp:inline>
        </w:drawing>
      </w:r>
      <w:r>
        <w:t xml:space="preserve"> </w:t>
      </w:r>
      <w:r w:rsidRPr="008D55A2">
        <w:drawing>
          <wp:inline distT="0" distB="0" distL="0" distR="0">
            <wp:extent cx="2933065" cy="2200396"/>
            <wp:effectExtent l="19050" t="0" r="635" b="0"/>
            <wp:docPr id="16" name="Picture 4" descr="N:\common\MONITORING\Access_Projects\Cann\Post_project_photos\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ommon\MONITORING\Access_Projects\Cann\Post_project_photos\IMG_0471.jpg"/>
                    <pic:cNvPicPr>
                      <a:picLocks noChangeAspect="1" noChangeArrowheads="1"/>
                    </pic:cNvPicPr>
                  </pic:nvPicPr>
                  <pic:blipFill>
                    <a:blip r:embed="rId9" cstate="print"/>
                    <a:srcRect/>
                    <a:stretch>
                      <a:fillRect/>
                    </a:stretch>
                  </pic:blipFill>
                  <pic:spPr bwMode="auto">
                    <a:xfrm>
                      <a:off x="0" y="0"/>
                      <a:ext cx="2933860" cy="2200993"/>
                    </a:xfrm>
                    <a:prstGeom prst="rect">
                      <a:avLst/>
                    </a:prstGeom>
                    <a:noFill/>
                    <a:ln w="9525">
                      <a:noFill/>
                      <a:miter lim="800000"/>
                      <a:headEnd/>
                      <a:tailEnd/>
                    </a:ln>
                  </pic:spPr>
                </pic:pic>
              </a:graphicData>
            </a:graphic>
          </wp:inline>
        </w:drawing>
      </w:r>
    </w:p>
    <w:p w:rsidR="008D55A2" w:rsidRDefault="008D55A2" w:rsidP="00C16E69">
      <w:r>
        <w:t>PP3</w:t>
      </w:r>
      <w:r>
        <w:tab/>
      </w:r>
      <w:r>
        <w:tab/>
      </w:r>
      <w:r>
        <w:tab/>
      </w:r>
      <w:r>
        <w:tab/>
      </w:r>
      <w:r>
        <w:tab/>
      </w:r>
      <w:r>
        <w:tab/>
        <w:t xml:space="preserve">          PP4</w:t>
      </w:r>
    </w:p>
    <w:p w:rsidR="008D55A2" w:rsidRDefault="008D55A2" w:rsidP="00C16E69">
      <w:r w:rsidRPr="008D55A2">
        <w:lastRenderedPageBreak/>
        <w:drawing>
          <wp:inline distT="0" distB="0" distL="0" distR="0">
            <wp:extent cx="2894815" cy="2171700"/>
            <wp:effectExtent l="19050" t="0" r="785" b="0"/>
            <wp:docPr id="17" name="Picture 5" descr="N:\common\MONITORING\Access_Projects\Cann\Post_project_photos\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ommon\MONITORING\Access_Projects\Cann\Post_project_photos\IMG_0472.jpg"/>
                    <pic:cNvPicPr>
                      <a:picLocks noChangeAspect="1" noChangeArrowheads="1"/>
                    </pic:cNvPicPr>
                  </pic:nvPicPr>
                  <pic:blipFill>
                    <a:blip r:embed="rId10" cstate="print"/>
                    <a:srcRect/>
                    <a:stretch>
                      <a:fillRect/>
                    </a:stretch>
                  </pic:blipFill>
                  <pic:spPr bwMode="auto">
                    <a:xfrm>
                      <a:off x="0" y="0"/>
                      <a:ext cx="2895600" cy="2172289"/>
                    </a:xfrm>
                    <a:prstGeom prst="rect">
                      <a:avLst/>
                    </a:prstGeom>
                    <a:noFill/>
                    <a:ln w="9525">
                      <a:noFill/>
                      <a:miter lim="800000"/>
                      <a:headEnd/>
                      <a:tailEnd/>
                    </a:ln>
                  </pic:spPr>
                </pic:pic>
              </a:graphicData>
            </a:graphic>
          </wp:inline>
        </w:drawing>
      </w:r>
      <w:r>
        <w:t xml:space="preserve"> </w:t>
      </w:r>
      <w:r w:rsidRPr="008D55A2">
        <w:drawing>
          <wp:inline distT="0" distB="0" distL="0" distR="0">
            <wp:extent cx="2869422" cy="2152650"/>
            <wp:effectExtent l="19050" t="0" r="7128" b="0"/>
            <wp:docPr id="18" name="Picture 6" descr="N:\common\MONITORING\Access_Projects\Cann\Post_project_photos\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mmon\MONITORING\Access_Projects\Cann\Post_project_photos\IMG_0473.jpg"/>
                    <pic:cNvPicPr>
                      <a:picLocks noChangeAspect="1" noChangeArrowheads="1"/>
                    </pic:cNvPicPr>
                  </pic:nvPicPr>
                  <pic:blipFill>
                    <a:blip r:embed="rId11" cstate="print"/>
                    <a:srcRect/>
                    <a:stretch>
                      <a:fillRect/>
                    </a:stretch>
                  </pic:blipFill>
                  <pic:spPr bwMode="auto">
                    <a:xfrm>
                      <a:off x="0" y="0"/>
                      <a:ext cx="2870200" cy="2153234"/>
                    </a:xfrm>
                    <a:prstGeom prst="rect">
                      <a:avLst/>
                    </a:prstGeom>
                    <a:noFill/>
                    <a:ln w="9525">
                      <a:noFill/>
                      <a:miter lim="800000"/>
                      <a:headEnd/>
                      <a:tailEnd/>
                    </a:ln>
                  </pic:spPr>
                </pic:pic>
              </a:graphicData>
            </a:graphic>
          </wp:inline>
        </w:drawing>
      </w:r>
    </w:p>
    <w:p w:rsidR="008D55A2" w:rsidRDefault="008D55A2" w:rsidP="00C16E69">
      <w:r>
        <w:t>PP5</w:t>
      </w:r>
      <w:r>
        <w:tab/>
      </w:r>
      <w:r>
        <w:tab/>
      </w:r>
      <w:r>
        <w:tab/>
      </w:r>
      <w:r>
        <w:tab/>
      </w:r>
      <w:r>
        <w:tab/>
      </w:r>
      <w:r>
        <w:tab/>
        <w:t xml:space="preserve">        PP6</w:t>
      </w:r>
    </w:p>
    <w:p w:rsidR="008D55A2" w:rsidRDefault="008D55A2" w:rsidP="00C16E69">
      <w:r w:rsidRPr="008D55A2">
        <w:drawing>
          <wp:inline distT="0" distB="0" distL="0" distR="0">
            <wp:extent cx="2793242" cy="2095500"/>
            <wp:effectExtent l="19050" t="0" r="7108" b="0"/>
            <wp:docPr id="19" name="Picture 7" descr="N:\common\MONITORING\Access_Projects\Cann\Post_project_photos\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ommon\MONITORING\Access_Projects\Cann\Post_project_photos\IMG_0474.jpg"/>
                    <pic:cNvPicPr>
                      <a:picLocks noChangeAspect="1" noChangeArrowheads="1"/>
                    </pic:cNvPicPr>
                  </pic:nvPicPr>
                  <pic:blipFill>
                    <a:blip r:embed="rId12" cstate="print"/>
                    <a:srcRect/>
                    <a:stretch>
                      <a:fillRect/>
                    </a:stretch>
                  </pic:blipFill>
                  <pic:spPr bwMode="auto">
                    <a:xfrm>
                      <a:off x="0" y="0"/>
                      <a:ext cx="2794000" cy="2096068"/>
                    </a:xfrm>
                    <a:prstGeom prst="rect">
                      <a:avLst/>
                    </a:prstGeom>
                    <a:noFill/>
                    <a:ln w="9525">
                      <a:noFill/>
                      <a:miter lim="800000"/>
                      <a:headEnd/>
                      <a:tailEnd/>
                    </a:ln>
                  </pic:spPr>
                </pic:pic>
              </a:graphicData>
            </a:graphic>
          </wp:inline>
        </w:drawing>
      </w:r>
    </w:p>
    <w:p w:rsidR="008D55A2" w:rsidRDefault="008D55A2" w:rsidP="00C16E69">
      <w:r>
        <w:t>PP7</w:t>
      </w:r>
    </w:p>
    <w:p w:rsidR="008D55A2" w:rsidRDefault="008D55A2" w:rsidP="008D55A2">
      <w:pPr>
        <w:rPr>
          <w:i/>
        </w:rPr>
      </w:pPr>
      <w:r>
        <w:rPr>
          <w:i/>
        </w:rPr>
        <w:t>Riparian Monitoring</w:t>
      </w:r>
    </w:p>
    <w:p w:rsidR="005D498A" w:rsidRDefault="008D55A2" w:rsidP="008D55A2">
      <w:r>
        <w:tab/>
        <w:t xml:space="preserve">Totals from the stem count indicate a plant survival rate of </w:t>
      </w:r>
      <w:r w:rsidR="00F90FA5">
        <w:t>93</w:t>
      </w:r>
      <w:r>
        <w:t xml:space="preserve"> percent and </w:t>
      </w:r>
      <w:r w:rsidR="00F90FA5">
        <w:t xml:space="preserve">average </w:t>
      </w:r>
      <w:r>
        <w:t xml:space="preserve">shrub cover of </w:t>
      </w:r>
      <w:r w:rsidR="00F90FA5">
        <w:t xml:space="preserve">23 </w:t>
      </w:r>
      <w:r>
        <w:t xml:space="preserve">percent (Table 1). Willows that were planted too high on the bank accounted for </w:t>
      </w:r>
      <w:r w:rsidR="00F90FA5">
        <w:t>almost all</w:t>
      </w:r>
      <w:r>
        <w:t xml:space="preserve"> of the observed mortality.</w:t>
      </w:r>
      <w:r w:rsidR="00F12BA2">
        <w:t xml:space="preserve"> Percent cover of sedge mats ranged from 70-100 percent. </w:t>
      </w:r>
    </w:p>
    <w:p w:rsidR="005D498A" w:rsidRDefault="00F12BA2" w:rsidP="005D498A">
      <w:pPr>
        <w:ind w:firstLine="720"/>
      </w:pPr>
      <w:r>
        <w:t xml:space="preserve">Willow cuttings, dogwood, snowberry and alder are well established, growing fast, and providing good cover site wide. Areas of exceptionally high growth are in the SW quadrant (alder and dogwood near the creek) and the NE quadrant (willow stakes). Gaps in planting include a bare area </w:t>
      </w:r>
      <w:r w:rsidR="005D498A">
        <w:t xml:space="preserve">between the bridge pillar and fence </w:t>
      </w:r>
      <w:r>
        <w:t>in the SW quadrant and</w:t>
      </w:r>
      <w:r w:rsidR="005D498A">
        <w:t xml:space="preserve"> lining the channel </w:t>
      </w:r>
      <w:r w:rsidR="009021DF">
        <w:t>site wide (2-</w:t>
      </w:r>
      <w:r w:rsidR="005D498A">
        <w:t>3 ft width swath) in the NE quadrant. Reed canary grass, an invasive species, lined the channel in the NW quadrant.</w:t>
      </w:r>
    </w:p>
    <w:p w:rsidR="005D498A" w:rsidRDefault="005D498A" w:rsidP="005D498A"/>
    <w:p w:rsidR="005D498A" w:rsidRDefault="005D498A" w:rsidP="005D498A"/>
    <w:p w:rsidR="005D498A" w:rsidRDefault="005D498A" w:rsidP="005D498A"/>
    <w:p w:rsidR="005D498A" w:rsidRDefault="005D498A" w:rsidP="005D498A">
      <w:r>
        <w:t>Table 1. Results from stem count on August 16</w:t>
      </w:r>
      <w:r w:rsidRPr="009A7786">
        <w:rPr>
          <w:vertAlign w:val="superscript"/>
        </w:rPr>
        <w:t>th</w:t>
      </w:r>
      <w:r>
        <w:t>. Calculated plant survival = 178/192 *100 = 93 percent</w:t>
      </w:r>
    </w:p>
    <w:tbl>
      <w:tblPr>
        <w:tblW w:w="9520" w:type="dxa"/>
        <w:tblInd w:w="108" w:type="dxa"/>
        <w:tblLook w:val="04A0"/>
      </w:tblPr>
      <w:tblGrid>
        <w:gridCol w:w="3574"/>
        <w:gridCol w:w="1060"/>
        <w:gridCol w:w="1100"/>
        <w:gridCol w:w="1060"/>
        <w:gridCol w:w="1060"/>
        <w:gridCol w:w="916"/>
        <w:gridCol w:w="998"/>
      </w:tblGrid>
      <w:tr w:rsidR="00F90FA5" w:rsidRPr="00F90FA5" w:rsidTr="00F90FA5">
        <w:trPr>
          <w:trHeight w:val="900"/>
        </w:trPr>
        <w:tc>
          <w:tcPr>
            <w:tcW w:w="3574" w:type="dxa"/>
            <w:tcBorders>
              <w:top w:val="nil"/>
              <w:left w:val="nil"/>
              <w:bottom w:val="single" w:sz="12" w:space="0" w:color="FFFFFF"/>
              <w:right w:val="single" w:sz="4" w:space="0" w:color="FFFFFF"/>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species</w:t>
            </w:r>
          </w:p>
        </w:tc>
        <w:tc>
          <w:tcPr>
            <w:tcW w:w="1031" w:type="dxa"/>
            <w:tcBorders>
              <w:top w:val="nil"/>
              <w:left w:val="nil"/>
              <w:bottom w:val="single" w:sz="12" w:space="0" w:color="FFFFFF"/>
              <w:right w:val="single" w:sz="4" w:space="0" w:color="FFFFFF"/>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NW quadrant</w:t>
            </w:r>
          </w:p>
        </w:tc>
        <w:tc>
          <w:tcPr>
            <w:tcW w:w="1100" w:type="dxa"/>
            <w:tcBorders>
              <w:top w:val="nil"/>
              <w:left w:val="nil"/>
              <w:bottom w:val="single" w:sz="12" w:space="0" w:color="FFFFFF"/>
              <w:right w:val="single" w:sz="4" w:space="0" w:color="FFFFFF"/>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SW quadrant</w:t>
            </w:r>
          </w:p>
        </w:tc>
        <w:tc>
          <w:tcPr>
            <w:tcW w:w="950" w:type="dxa"/>
            <w:tcBorders>
              <w:top w:val="nil"/>
              <w:left w:val="nil"/>
              <w:bottom w:val="single" w:sz="12" w:space="0" w:color="FFFFFF"/>
              <w:right w:val="single" w:sz="4" w:space="0" w:color="FFFFFF"/>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NE quadrant</w:t>
            </w:r>
          </w:p>
        </w:tc>
        <w:tc>
          <w:tcPr>
            <w:tcW w:w="1019" w:type="dxa"/>
            <w:tcBorders>
              <w:top w:val="nil"/>
              <w:left w:val="nil"/>
              <w:bottom w:val="single" w:sz="12" w:space="0" w:color="FFFFFF"/>
              <w:right w:val="single" w:sz="4" w:space="0" w:color="FFFFFF"/>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SE quadrant</w:t>
            </w:r>
          </w:p>
        </w:tc>
        <w:tc>
          <w:tcPr>
            <w:tcW w:w="855" w:type="dxa"/>
            <w:tcBorders>
              <w:top w:val="nil"/>
              <w:left w:val="nil"/>
              <w:bottom w:val="single" w:sz="12" w:space="0" w:color="FFFFFF"/>
              <w:right w:val="single" w:sz="4" w:space="0" w:color="FFFFFF"/>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Total plants present</w:t>
            </w:r>
          </w:p>
        </w:tc>
        <w:tc>
          <w:tcPr>
            <w:tcW w:w="991" w:type="dxa"/>
            <w:tcBorders>
              <w:top w:val="nil"/>
              <w:left w:val="nil"/>
              <w:bottom w:val="single" w:sz="12" w:space="0" w:color="FFFFFF"/>
              <w:right w:val="nil"/>
            </w:tcBorders>
            <w:shd w:val="clear" w:color="4F81BD" w:fill="4F81BD"/>
            <w:vAlign w:val="bottom"/>
            <w:hideMark/>
          </w:tcPr>
          <w:p w:rsidR="00F90FA5" w:rsidRPr="00F90FA5" w:rsidRDefault="00F90FA5" w:rsidP="00F90FA5">
            <w:pPr>
              <w:spacing w:after="0" w:line="240" w:lineRule="auto"/>
              <w:rPr>
                <w:rFonts w:ascii="Calibri" w:eastAsia="Times New Roman" w:hAnsi="Calibri" w:cs="Times New Roman"/>
                <w:b/>
                <w:bCs/>
                <w:color w:val="FFFFFF"/>
              </w:rPr>
            </w:pPr>
            <w:r w:rsidRPr="00F90FA5">
              <w:rPr>
                <w:rFonts w:ascii="Calibri" w:eastAsia="Times New Roman" w:hAnsi="Calibri" w:cs="Times New Roman"/>
                <w:b/>
                <w:bCs/>
                <w:color w:val="FFFFFF"/>
              </w:rPr>
              <w:t>Total plants installed</w:t>
            </w:r>
          </w:p>
        </w:tc>
      </w:tr>
      <w:tr w:rsidR="00F90FA5" w:rsidRPr="00F90FA5" w:rsidTr="00F90FA5">
        <w:trPr>
          <w:trHeight w:val="300"/>
        </w:trPr>
        <w:tc>
          <w:tcPr>
            <w:tcW w:w="3574"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Willow stakes</w:t>
            </w:r>
          </w:p>
        </w:tc>
        <w:tc>
          <w:tcPr>
            <w:tcW w:w="1031"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9</w:t>
            </w:r>
          </w:p>
        </w:tc>
        <w:tc>
          <w:tcPr>
            <w:tcW w:w="110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13</w:t>
            </w:r>
          </w:p>
        </w:tc>
        <w:tc>
          <w:tcPr>
            <w:tcW w:w="95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61</w:t>
            </w:r>
          </w:p>
        </w:tc>
        <w:tc>
          <w:tcPr>
            <w:tcW w:w="1019"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11</w:t>
            </w:r>
          </w:p>
        </w:tc>
        <w:tc>
          <w:tcPr>
            <w:tcW w:w="855"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94</w:t>
            </w:r>
          </w:p>
        </w:tc>
        <w:tc>
          <w:tcPr>
            <w:tcW w:w="991" w:type="dxa"/>
            <w:tcBorders>
              <w:top w:val="nil"/>
              <w:left w:val="nil"/>
              <w:bottom w:val="single" w:sz="4" w:space="0" w:color="FFFFFF"/>
              <w:right w:val="nil"/>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103</w:t>
            </w:r>
          </w:p>
        </w:tc>
      </w:tr>
      <w:tr w:rsidR="00F90FA5" w:rsidRPr="00F90FA5" w:rsidTr="00F90FA5">
        <w:trPr>
          <w:trHeight w:val="525"/>
        </w:trPr>
        <w:tc>
          <w:tcPr>
            <w:tcW w:w="3574" w:type="dxa"/>
            <w:tcBorders>
              <w:top w:val="nil"/>
              <w:left w:val="nil"/>
              <w:bottom w:val="single" w:sz="4" w:space="0" w:color="FFFFFF"/>
              <w:right w:val="single" w:sz="4" w:space="0" w:color="FFFFFF"/>
            </w:tcBorders>
            <w:shd w:val="clear" w:color="DBE5F1" w:fill="DBE5F1"/>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SYMPHORICARPOS ALBUS</w:t>
            </w:r>
            <w:r w:rsidRPr="00F90FA5">
              <w:rPr>
                <w:rFonts w:ascii="Arial" w:eastAsia="Times New Roman" w:hAnsi="Arial" w:cs="Arial"/>
                <w:sz w:val="20"/>
                <w:szCs w:val="20"/>
              </w:rPr>
              <w:t>- common snowberry</w:t>
            </w:r>
          </w:p>
        </w:tc>
        <w:tc>
          <w:tcPr>
            <w:tcW w:w="1031"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11</w:t>
            </w:r>
          </w:p>
        </w:tc>
        <w:tc>
          <w:tcPr>
            <w:tcW w:w="110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10</w:t>
            </w:r>
          </w:p>
        </w:tc>
        <w:tc>
          <w:tcPr>
            <w:tcW w:w="95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4</w:t>
            </w:r>
          </w:p>
        </w:tc>
        <w:tc>
          <w:tcPr>
            <w:tcW w:w="855"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25</w:t>
            </w:r>
          </w:p>
        </w:tc>
        <w:tc>
          <w:tcPr>
            <w:tcW w:w="991" w:type="dxa"/>
            <w:tcBorders>
              <w:top w:val="nil"/>
              <w:left w:val="nil"/>
              <w:bottom w:val="single" w:sz="4" w:space="0" w:color="FFFFFF"/>
              <w:right w:val="nil"/>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25</w:t>
            </w:r>
          </w:p>
        </w:tc>
      </w:tr>
      <w:tr w:rsidR="00F90FA5" w:rsidRPr="00F90FA5" w:rsidTr="00F90FA5">
        <w:trPr>
          <w:trHeight w:val="300"/>
        </w:trPr>
        <w:tc>
          <w:tcPr>
            <w:tcW w:w="3574"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ROSA WOODSII</w:t>
            </w:r>
            <w:r w:rsidRPr="00F90FA5">
              <w:rPr>
                <w:rFonts w:ascii="Arial" w:eastAsia="Times New Roman" w:hAnsi="Arial" w:cs="Arial"/>
                <w:sz w:val="20"/>
                <w:szCs w:val="20"/>
              </w:rPr>
              <w:t>- Wood's rose</w:t>
            </w:r>
          </w:p>
        </w:tc>
        <w:tc>
          <w:tcPr>
            <w:tcW w:w="1031"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8</w:t>
            </w:r>
          </w:p>
        </w:tc>
        <w:tc>
          <w:tcPr>
            <w:tcW w:w="110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11</w:t>
            </w:r>
          </w:p>
        </w:tc>
        <w:tc>
          <w:tcPr>
            <w:tcW w:w="95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w:t>
            </w:r>
          </w:p>
        </w:tc>
        <w:tc>
          <w:tcPr>
            <w:tcW w:w="855"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21</w:t>
            </w:r>
          </w:p>
        </w:tc>
        <w:tc>
          <w:tcPr>
            <w:tcW w:w="991" w:type="dxa"/>
            <w:tcBorders>
              <w:top w:val="nil"/>
              <w:left w:val="nil"/>
              <w:bottom w:val="single" w:sz="4" w:space="0" w:color="FFFFFF"/>
              <w:right w:val="nil"/>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22</w:t>
            </w:r>
          </w:p>
        </w:tc>
      </w:tr>
      <w:tr w:rsidR="00F90FA5" w:rsidRPr="00F90FA5" w:rsidTr="00F90FA5">
        <w:trPr>
          <w:trHeight w:val="525"/>
        </w:trPr>
        <w:tc>
          <w:tcPr>
            <w:tcW w:w="3574" w:type="dxa"/>
            <w:tcBorders>
              <w:top w:val="nil"/>
              <w:left w:val="nil"/>
              <w:bottom w:val="single" w:sz="4" w:space="0" w:color="FFFFFF"/>
              <w:right w:val="single" w:sz="4" w:space="0" w:color="FFFFFF"/>
            </w:tcBorders>
            <w:shd w:val="clear" w:color="DBE5F1" w:fill="DBE5F1"/>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SAMBUCUS NIGRA spp. cerulea</w:t>
            </w:r>
            <w:r w:rsidRPr="00F90FA5">
              <w:rPr>
                <w:rFonts w:ascii="Arial" w:eastAsia="Times New Roman" w:hAnsi="Arial" w:cs="Arial"/>
                <w:sz w:val="20"/>
                <w:szCs w:val="20"/>
              </w:rPr>
              <w:t>- blue elderberry</w:t>
            </w:r>
          </w:p>
        </w:tc>
        <w:tc>
          <w:tcPr>
            <w:tcW w:w="1031"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w:t>
            </w:r>
          </w:p>
        </w:tc>
        <w:tc>
          <w:tcPr>
            <w:tcW w:w="110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95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w:t>
            </w:r>
          </w:p>
        </w:tc>
        <w:tc>
          <w:tcPr>
            <w:tcW w:w="1019"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855"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2</w:t>
            </w:r>
          </w:p>
        </w:tc>
        <w:tc>
          <w:tcPr>
            <w:tcW w:w="991" w:type="dxa"/>
            <w:tcBorders>
              <w:top w:val="nil"/>
              <w:left w:val="nil"/>
              <w:bottom w:val="single" w:sz="4" w:space="0" w:color="FFFFFF"/>
              <w:right w:val="nil"/>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r>
      <w:tr w:rsidR="00F90FA5" w:rsidRPr="00F90FA5" w:rsidTr="00F90FA5">
        <w:trPr>
          <w:trHeight w:val="300"/>
        </w:trPr>
        <w:tc>
          <w:tcPr>
            <w:tcW w:w="3574"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CORNUS SERICEA</w:t>
            </w:r>
            <w:r w:rsidRPr="00F90FA5">
              <w:rPr>
                <w:rFonts w:ascii="Arial" w:eastAsia="Times New Roman" w:hAnsi="Arial" w:cs="Arial"/>
                <w:sz w:val="20"/>
                <w:szCs w:val="20"/>
              </w:rPr>
              <w:t>- red osier dogwood</w:t>
            </w:r>
          </w:p>
        </w:tc>
        <w:tc>
          <w:tcPr>
            <w:tcW w:w="1031"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w:t>
            </w:r>
          </w:p>
        </w:tc>
        <w:tc>
          <w:tcPr>
            <w:tcW w:w="110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w:t>
            </w:r>
          </w:p>
        </w:tc>
        <w:tc>
          <w:tcPr>
            <w:tcW w:w="95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w:t>
            </w:r>
          </w:p>
        </w:tc>
        <w:tc>
          <w:tcPr>
            <w:tcW w:w="1019"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w:t>
            </w:r>
          </w:p>
        </w:tc>
        <w:tc>
          <w:tcPr>
            <w:tcW w:w="855"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11</w:t>
            </w:r>
          </w:p>
        </w:tc>
        <w:tc>
          <w:tcPr>
            <w:tcW w:w="991" w:type="dxa"/>
            <w:tcBorders>
              <w:top w:val="nil"/>
              <w:left w:val="nil"/>
              <w:bottom w:val="single" w:sz="4" w:space="0" w:color="FFFFFF"/>
              <w:right w:val="nil"/>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12</w:t>
            </w:r>
          </w:p>
        </w:tc>
      </w:tr>
      <w:tr w:rsidR="00F90FA5" w:rsidRPr="00F90FA5" w:rsidTr="00F90FA5">
        <w:trPr>
          <w:trHeight w:val="525"/>
        </w:trPr>
        <w:tc>
          <w:tcPr>
            <w:tcW w:w="3574" w:type="dxa"/>
            <w:tcBorders>
              <w:top w:val="nil"/>
              <w:left w:val="nil"/>
              <w:bottom w:val="single" w:sz="4" w:space="0" w:color="FFFFFF"/>
              <w:right w:val="single" w:sz="4" w:space="0" w:color="FFFFFF"/>
            </w:tcBorders>
            <w:shd w:val="clear" w:color="DBE5F1" w:fill="DBE5F1"/>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 xml:space="preserve">ALNUS INCANA spp. tenuifolia- </w:t>
            </w:r>
            <w:r w:rsidRPr="00F90FA5">
              <w:rPr>
                <w:rFonts w:ascii="Arial" w:eastAsia="Times New Roman" w:hAnsi="Arial" w:cs="Arial"/>
                <w:sz w:val="20"/>
                <w:szCs w:val="20"/>
              </w:rPr>
              <w:t>mountain alder</w:t>
            </w:r>
          </w:p>
        </w:tc>
        <w:tc>
          <w:tcPr>
            <w:tcW w:w="1031"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w:t>
            </w:r>
          </w:p>
        </w:tc>
        <w:tc>
          <w:tcPr>
            <w:tcW w:w="110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7</w:t>
            </w:r>
          </w:p>
        </w:tc>
        <w:tc>
          <w:tcPr>
            <w:tcW w:w="95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w:t>
            </w:r>
          </w:p>
        </w:tc>
        <w:tc>
          <w:tcPr>
            <w:tcW w:w="1019"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w:t>
            </w:r>
          </w:p>
        </w:tc>
        <w:tc>
          <w:tcPr>
            <w:tcW w:w="855"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15</w:t>
            </w:r>
          </w:p>
        </w:tc>
        <w:tc>
          <w:tcPr>
            <w:tcW w:w="991" w:type="dxa"/>
            <w:tcBorders>
              <w:top w:val="nil"/>
              <w:left w:val="nil"/>
              <w:bottom w:val="single" w:sz="4" w:space="0" w:color="FFFFFF"/>
              <w:right w:val="nil"/>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15</w:t>
            </w:r>
          </w:p>
        </w:tc>
      </w:tr>
      <w:tr w:rsidR="00F90FA5" w:rsidRPr="00F90FA5" w:rsidTr="00F90FA5">
        <w:trPr>
          <w:trHeight w:val="525"/>
        </w:trPr>
        <w:tc>
          <w:tcPr>
            <w:tcW w:w="3574" w:type="dxa"/>
            <w:tcBorders>
              <w:top w:val="nil"/>
              <w:left w:val="nil"/>
              <w:bottom w:val="single" w:sz="4" w:space="0" w:color="FFFFFF"/>
              <w:right w:val="single" w:sz="4" w:space="0" w:color="FFFFFF"/>
            </w:tcBorders>
            <w:shd w:val="clear" w:color="B8CCE4" w:fill="B8CCE4"/>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CRATAEGUS DOUGLASII</w:t>
            </w:r>
            <w:r w:rsidRPr="00F90FA5">
              <w:rPr>
                <w:rFonts w:ascii="Arial" w:eastAsia="Times New Roman" w:hAnsi="Arial" w:cs="Arial"/>
                <w:sz w:val="20"/>
                <w:szCs w:val="20"/>
              </w:rPr>
              <w:t>-Douglas hawthorne</w:t>
            </w:r>
          </w:p>
        </w:tc>
        <w:tc>
          <w:tcPr>
            <w:tcW w:w="1031"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w:t>
            </w:r>
          </w:p>
        </w:tc>
        <w:tc>
          <w:tcPr>
            <w:tcW w:w="110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4</w:t>
            </w:r>
          </w:p>
        </w:tc>
        <w:tc>
          <w:tcPr>
            <w:tcW w:w="95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855"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5</w:t>
            </w:r>
          </w:p>
        </w:tc>
        <w:tc>
          <w:tcPr>
            <w:tcW w:w="991" w:type="dxa"/>
            <w:tcBorders>
              <w:top w:val="nil"/>
              <w:left w:val="nil"/>
              <w:bottom w:val="single" w:sz="4" w:space="0" w:color="FFFFFF"/>
              <w:right w:val="nil"/>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5</w:t>
            </w:r>
          </w:p>
        </w:tc>
      </w:tr>
      <w:tr w:rsidR="00F90FA5" w:rsidRPr="00F90FA5" w:rsidTr="00F90FA5">
        <w:trPr>
          <w:trHeight w:val="525"/>
        </w:trPr>
        <w:tc>
          <w:tcPr>
            <w:tcW w:w="3574" w:type="dxa"/>
            <w:tcBorders>
              <w:top w:val="nil"/>
              <w:left w:val="nil"/>
              <w:bottom w:val="single" w:sz="4" w:space="0" w:color="FFFFFF"/>
              <w:right w:val="single" w:sz="4" w:space="0" w:color="FFFFFF"/>
            </w:tcBorders>
            <w:shd w:val="clear" w:color="DBE5F1" w:fill="DBE5F1"/>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POPULUS BALSAMIFERA</w:t>
            </w:r>
            <w:r w:rsidRPr="00F90FA5">
              <w:rPr>
                <w:rFonts w:ascii="Arial" w:eastAsia="Times New Roman" w:hAnsi="Arial" w:cs="Arial"/>
                <w:sz w:val="20"/>
                <w:szCs w:val="20"/>
              </w:rPr>
              <w:t>- black cottonwood</w:t>
            </w:r>
          </w:p>
        </w:tc>
        <w:tc>
          <w:tcPr>
            <w:tcW w:w="1031"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110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w:t>
            </w:r>
          </w:p>
        </w:tc>
        <w:tc>
          <w:tcPr>
            <w:tcW w:w="950"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w:t>
            </w:r>
          </w:p>
        </w:tc>
        <w:tc>
          <w:tcPr>
            <w:tcW w:w="855" w:type="dxa"/>
            <w:tcBorders>
              <w:top w:val="nil"/>
              <w:left w:val="nil"/>
              <w:bottom w:val="single" w:sz="4" w:space="0" w:color="FFFFFF"/>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5</w:t>
            </w:r>
          </w:p>
        </w:tc>
        <w:tc>
          <w:tcPr>
            <w:tcW w:w="991" w:type="dxa"/>
            <w:tcBorders>
              <w:top w:val="nil"/>
              <w:left w:val="nil"/>
              <w:bottom w:val="single" w:sz="4" w:space="0" w:color="FFFFFF"/>
              <w:right w:val="nil"/>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5</w:t>
            </w:r>
          </w:p>
        </w:tc>
      </w:tr>
      <w:tr w:rsidR="00F90FA5" w:rsidRPr="00F90FA5" w:rsidTr="00F90FA5">
        <w:trPr>
          <w:trHeight w:val="300"/>
        </w:trPr>
        <w:tc>
          <w:tcPr>
            <w:tcW w:w="3574" w:type="dxa"/>
            <w:tcBorders>
              <w:top w:val="nil"/>
              <w:left w:val="nil"/>
              <w:bottom w:val="single" w:sz="4" w:space="0" w:color="FFFFFF"/>
              <w:right w:val="single" w:sz="4" w:space="0" w:color="FFFFFF"/>
            </w:tcBorders>
            <w:shd w:val="clear" w:color="B8CCE4" w:fill="B8CCE4"/>
            <w:vAlign w:val="bottom"/>
            <w:hideMark/>
          </w:tcPr>
          <w:p w:rsidR="00F90FA5" w:rsidRPr="00F90FA5" w:rsidRDefault="00F90FA5" w:rsidP="00F90FA5">
            <w:pPr>
              <w:spacing w:after="0" w:line="240" w:lineRule="auto"/>
              <w:rPr>
                <w:rFonts w:ascii="Arial" w:eastAsia="Times New Roman" w:hAnsi="Arial" w:cs="Arial"/>
                <w:b/>
                <w:bCs/>
                <w:i/>
                <w:iCs/>
                <w:sz w:val="20"/>
                <w:szCs w:val="20"/>
              </w:rPr>
            </w:pPr>
            <w:r w:rsidRPr="00F90FA5">
              <w:rPr>
                <w:rFonts w:ascii="Arial" w:eastAsia="Times New Roman" w:hAnsi="Arial" w:cs="Arial"/>
                <w:b/>
                <w:bCs/>
                <w:i/>
                <w:iCs/>
                <w:sz w:val="20"/>
                <w:szCs w:val="20"/>
              </w:rPr>
              <w:t>totals</w:t>
            </w:r>
          </w:p>
        </w:tc>
        <w:tc>
          <w:tcPr>
            <w:tcW w:w="1031"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36</w:t>
            </w:r>
          </w:p>
        </w:tc>
        <w:tc>
          <w:tcPr>
            <w:tcW w:w="110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51</w:t>
            </w:r>
          </w:p>
        </w:tc>
        <w:tc>
          <w:tcPr>
            <w:tcW w:w="950"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67</w:t>
            </w:r>
          </w:p>
        </w:tc>
        <w:tc>
          <w:tcPr>
            <w:tcW w:w="1019"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24</w:t>
            </w:r>
          </w:p>
        </w:tc>
        <w:tc>
          <w:tcPr>
            <w:tcW w:w="855" w:type="dxa"/>
            <w:tcBorders>
              <w:top w:val="nil"/>
              <w:left w:val="nil"/>
              <w:bottom w:val="single" w:sz="4" w:space="0" w:color="FFFFFF"/>
              <w:right w:val="single" w:sz="4" w:space="0" w:color="FFFFFF"/>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b/>
                <w:bCs/>
                <w:color w:val="000000"/>
              </w:rPr>
            </w:pPr>
            <w:r w:rsidRPr="00F90FA5">
              <w:rPr>
                <w:rFonts w:ascii="Calibri" w:eastAsia="Times New Roman" w:hAnsi="Calibri" w:cs="Times New Roman"/>
                <w:b/>
                <w:bCs/>
                <w:color w:val="000000"/>
              </w:rPr>
              <w:t>178</w:t>
            </w:r>
          </w:p>
        </w:tc>
        <w:tc>
          <w:tcPr>
            <w:tcW w:w="991" w:type="dxa"/>
            <w:tcBorders>
              <w:top w:val="nil"/>
              <w:left w:val="nil"/>
              <w:bottom w:val="single" w:sz="4" w:space="0" w:color="FFFFFF"/>
              <w:right w:val="nil"/>
            </w:tcBorders>
            <w:shd w:val="clear" w:color="B8CCE4" w:fill="B8CCE4"/>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192</w:t>
            </w:r>
          </w:p>
        </w:tc>
      </w:tr>
      <w:tr w:rsidR="00F90FA5" w:rsidRPr="00F90FA5" w:rsidTr="00F90FA5">
        <w:trPr>
          <w:trHeight w:val="300"/>
        </w:trPr>
        <w:tc>
          <w:tcPr>
            <w:tcW w:w="3574" w:type="dxa"/>
            <w:tcBorders>
              <w:top w:val="nil"/>
              <w:left w:val="nil"/>
              <w:bottom w:val="nil"/>
              <w:right w:val="single" w:sz="4" w:space="0" w:color="FFFFFF"/>
            </w:tcBorders>
            <w:shd w:val="clear" w:color="DBE5F1" w:fill="DBE5F1"/>
            <w:vAlign w:val="bottom"/>
            <w:hideMark/>
          </w:tcPr>
          <w:p w:rsidR="00F90FA5" w:rsidRPr="00F90FA5" w:rsidRDefault="00F90FA5" w:rsidP="00F90FA5">
            <w:pPr>
              <w:spacing w:after="0" w:line="240" w:lineRule="auto"/>
              <w:rPr>
                <w:rFonts w:ascii="Arial" w:eastAsia="Times New Roman" w:hAnsi="Arial" w:cs="Arial"/>
                <w:i/>
                <w:iCs/>
                <w:sz w:val="20"/>
                <w:szCs w:val="20"/>
              </w:rPr>
            </w:pPr>
            <w:r w:rsidRPr="00F90FA5">
              <w:rPr>
                <w:rFonts w:ascii="Arial" w:eastAsia="Times New Roman" w:hAnsi="Arial" w:cs="Arial"/>
                <w:i/>
                <w:iCs/>
                <w:sz w:val="20"/>
                <w:szCs w:val="20"/>
              </w:rPr>
              <w:t>%  shrub cover</w:t>
            </w:r>
          </w:p>
        </w:tc>
        <w:tc>
          <w:tcPr>
            <w:tcW w:w="1031" w:type="dxa"/>
            <w:tcBorders>
              <w:top w:val="nil"/>
              <w:left w:val="nil"/>
              <w:bottom w:val="nil"/>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20</w:t>
            </w:r>
          </w:p>
        </w:tc>
        <w:tc>
          <w:tcPr>
            <w:tcW w:w="1100" w:type="dxa"/>
            <w:tcBorders>
              <w:top w:val="nil"/>
              <w:left w:val="nil"/>
              <w:bottom w:val="nil"/>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15</w:t>
            </w:r>
          </w:p>
        </w:tc>
        <w:tc>
          <w:tcPr>
            <w:tcW w:w="950" w:type="dxa"/>
            <w:tcBorders>
              <w:top w:val="nil"/>
              <w:left w:val="nil"/>
              <w:bottom w:val="nil"/>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30</w:t>
            </w:r>
          </w:p>
        </w:tc>
        <w:tc>
          <w:tcPr>
            <w:tcW w:w="1019" w:type="dxa"/>
            <w:tcBorders>
              <w:top w:val="nil"/>
              <w:left w:val="nil"/>
              <w:bottom w:val="nil"/>
              <w:right w:val="single" w:sz="4" w:space="0" w:color="FFFFFF"/>
            </w:tcBorders>
            <w:shd w:val="clear" w:color="DBE5F1" w:fill="DBE5F1"/>
            <w:noWrap/>
            <w:vAlign w:val="bottom"/>
            <w:hideMark/>
          </w:tcPr>
          <w:p w:rsidR="00F90FA5" w:rsidRPr="00F90FA5" w:rsidRDefault="00F90FA5" w:rsidP="00F90FA5">
            <w:pPr>
              <w:spacing w:after="0" w:line="240" w:lineRule="auto"/>
              <w:jc w:val="right"/>
              <w:rPr>
                <w:rFonts w:ascii="Calibri" w:eastAsia="Times New Roman" w:hAnsi="Calibri" w:cs="Times New Roman"/>
                <w:color w:val="000000"/>
              </w:rPr>
            </w:pPr>
            <w:r w:rsidRPr="00F90FA5">
              <w:rPr>
                <w:rFonts w:ascii="Calibri" w:eastAsia="Times New Roman" w:hAnsi="Calibri" w:cs="Times New Roman"/>
                <w:color w:val="000000"/>
              </w:rPr>
              <w:t>25</w:t>
            </w:r>
          </w:p>
        </w:tc>
        <w:tc>
          <w:tcPr>
            <w:tcW w:w="855" w:type="dxa"/>
            <w:tcBorders>
              <w:top w:val="nil"/>
              <w:left w:val="nil"/>
              <w:bottom w:val="nil"/>
              <w:right w:val="single" w:sz="4" w:space="0" w:color="FFFFFF"/>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c>
          <w:tcPr>
            <w:tcW w:w="991" w:type="dxa"/>
            <w:tcBorders>
              <w:top w:val="nil"/>
              <w:left w:val="nil"/>
              <w:bottom w:val="nil"/>
              <w:right w:val="nil"/>
            </w:tcBorders>
            <w:shd w:val="clear" w:color="DBE5F1" w:fill="DBE5F1"/>
            <w:noWrap/>
            <w:vAlign w:val="bottom"/>
            <w:hideMark/>
          </w:tcPr>
          <w:p w:rsidR="00F90FA5" w:rsidRPr="00F90FA5" w:rsidRDefault="00F90FA5" w:rsidP="00F90FA5">
            <w:pPr>
              <w:spacing w:after="0" w:line="240" w:lineRule="auto"/>
              <w:rPr>
                <w:rFonts w:ascii="Calibri" w:eastAsia="Times New Roman" w:hAnsi="Calibri" w:cs="Times New Roman"/>
                <w:color w:val="000000"/>
              </w:rPr>
            </w:pPr>
          </w:p>
        </w:tc>
      </w:tr>
    </w:tbl>
    <w:p w:rsidR="00C16E69" w:rsidRDefault="00C16E69" w:rsidP="00C16E69"/>
    <w:p w:rsidR="005D498A" w:rsidRDefault="005D498A" w:rsidP="005D498A">
      <w:pPr>
        <w:rPr>
          <w:i/>
        </w:rPr>
      </w:pPr>
      <w:r>
        <w:rPr>
          <w:i/>
        </w:rPr>
        <w:t>Fish Passage</w:t>
      </w:r>
    </w:p>
    <w:p w:rsidR="005D498A" w:rsidRDefault="005D498A" w:rsidP="005D498A">
      <w:pPr>
        <w:ind w:firstLine="720"/>
      </w:pPr>
      <w:r>
        <w:t xml:space="preserve">Fish array data indicates that at least 2 wild summer steelhead migrated up RM 5.3 at Sunitch and 1 migrated to RM 8.82 at Merry (Cann Bridge is at RM 8.59). This represents 20 percent and 10 percent of the overall wild summer steelhead detected at North Road array located at the mouth of the Creek. Detections at fish arrays represent approximately 10 percent of the actual run. </w:t>
      </w:r>
    </w:p>
    <w:p w:rsidR="005D498A" w:rsidRDefault="005D498A" w:rsidP="005D498A">
      <w:r>
        <w:t>Table 2. Adult salmonids detected at 3 fish arrays on Chumstick Creek in 2013</w:t>
      </w:r>
    </w:p>
    <w:tbl>
      <w:tblPr>
        <w:tblW w:w="6494" w:type="dxa"/>
        <w:tblInd w:w="94" w:type="dxa"/>
        <w:tblLook w:val="04A0"/>
      </w:tblPr>
      <w:tblGrid>
        <w:gridCol w:w="2700"/>
        <w:gridCol w:w="1364"/>
        <w:gridCol w:w="1260"/>
        <w:gridCol w:w="1170"/>
      </w:tblGrid>
      <w:tr w:rsidR="005D498A" w:rsidRPr="00EE0116" w:rsidTr="00FC28C8">
        <w:trPr>
          <w:trHeight w:val="600"/>
        </w:trPr>
        <w:tc>
          <w:tcPr>
            <w:tcW w:w="2700" w:type="dxa"/>
            <w:tcBorders>
              <w:top w:val="nil"/>
              <w:left w:val="nil"/>
              <w:bottom w:val="single" w:sz="12" w:space="0" w:color="FFFFFF"/>
              <w:right w:val="single" w:sz="4" w:space="0" w:color="FFFFFF"/>
            </w:tcBorders>
            <w:shd w:val="clear" w:color="4F81BD" w:fill="4F81BD"/>
            <w:noWrap/>
            <w:vAlign w:val="bottom"/>
            <w:hideMark/>
          </w:tcPr>
          <w:p w:rsidR="005D498A" w:rsidRPr="00EE0116" w:rsidRDefault="005D498A" w:rsidP="00FC28C8">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Species</w:t>
            </w:r>
          </w:p>
        </w:tc>
        <w:tc>
          <w:tcPr>
            <w:tcW w:w="1364" w:type="dxa"/>
            <w:tcBorders>
              <w:top w:val="nil"/>
              <w:left w:val="nil"/>
              <w:bottom w:val="single" w:sz="12" w:space="0" w:color="FFFFFF"/>
              <w:right w:val="single" w:sz="4" w:space="0" w:color="FFFFFF"/>
            </w:tcBorders>
            <w:shd w:val="clear" w:color="4F81BD" w:fill="4F81BD"/>
            <w:vAlign w:val="bottom"/>
            <w:hideMark/>
          </w:tcPr>
          <w:p w:rsidR="005D498A" w:rsidRPr="00EE0116" w:rsidRDefault="005D498A" w:rsidP="00FC28C8">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North Road (RM 0.28)</w:t>
            </w:r>
          </w:p>
        </w:tc>
        <w:tc>
          <w:tcPr>
            <w:tcW w:w="1260" w:type="dxa"/>
            <w:tcBorders>
              <w:top w:val="nil"/>
              <w:left w:val="nil"/>
              <w:bottom w:val="single" w:sz="12" w:space="0" w:color="FFFFFF"/>
              <w:right w:val="single" w:sz="4" w:space="0" w:color="FFFFFF"/>
            </w:tcBorders>
            <w:shd w:val="clear" w:color="4F81BD" w:fill="4F81BD"/>
            <w:noWrap/>
            <w:vAlign w:val="bottom"/>
            <w:hideMark/>
          </w:tcPr>
          <w:p w:rsidR="005D498A" w:rsidRPr="00EE0116" w:rsidRDefault="005D498A" w:rsidP="00FC28C8">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 xml:space="preserve">Sunitch </w:t>
            </w:r>
            <w:r>
              <w:rPr>
                <w:rFonts w:ascii="Calibri" w:eastAsia="Times New Roman" w:hAnsi="Calibri" w:cs="Times New Roman"/>
                <w:b/>
                <w:bCs/>
                <w:color w:val="FFFFFF"/>
              </w:rPr>
              <w:t>(RM 5.3)</w:t>
            </w:r>
          </w:p>
        </w:tc>
        <w:tc>
          <w:tcPr>
            <w:tcW w:w="1170" w:type="dxa"/>
            <w:tcBorders>
              <w:top w:val="nil"/>
              <w:left w:val="nil"/>
              <w:bottom w:val="single" w:sz="12" w:space="0" w:color="FFFFFF"/>
              <w:right w:val="nil"/>
            </w:tcBorders>
            <w:shd w:val="clear" w:color="4F81BD" w:fill="4F81BD"/>
            <w:noWrap/>
            <w:vAlign w:val="bottom"/>
            <w:hideMark/>
          </w:tcPr>
          <w:p w:rsidR="005D498A" w:rsidRPr="00EE0116" w:rsidRDefault="005D498A" w:rsidP="00FC28C8">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Merry</w:t>
            </w:r>
            <w:r>
              <w:rPr>
                <w:rFonts w:ascii="Calibri" w:eastAsia="Times New Roman" w:hAnsi="Calibri" w:cs="Times New Roman"/>
                <w:b/>
                <w:bCs/>
                <w:color w:val="FFFFFF"/>
              </w:rPr>
              <w:t xml:space="preserve"> (RM 8.82)</w:t>
            </w:r>
          </w:p>
        </w:tc>
      </w:tr>
      <w:tr w:rsidR="005D498A" w:rsidRPr="00EE0116" w:rsidTr="00FC28C8">
        <w:trPr>
          <w:trHeight w:val="300"/>
        </w:trPr>
        <w:tc>
          <w:tcPr>
            <w:tcW w:w="2700"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Wild Summer Steelhead</w:t>
            </w:r>
          </w:p>
        </w:tc>
        <w:tc>
          <w:tcPr>
            <w:tcW w:w="1364"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11</w:t>
            </w:r>
          </w:p>
        </w:tc>
        <w:tc>
          <w:tcPr>
            <w:tcW w:w="1260"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2</w:t>
            </w:r>
          </w:p>
        </w:tc>
        <w:tc>
          <w:tcPr>
            <w:tcW w:w="1170" w:type="dxa"/>
            <w:tcBorders>
              <w:top w:val="nil"/>
              <w:left w:val="nil"/>
              <w:bottom w:val="single" w:sz="4" w:space="0" w:color="FFFFFF"/>
              <w:right w:val="nil"/>
            </w:tcBorders>
            <w:shd w:val="clear" w:color="B8CCE4" w:fill="B8CCE4"/>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1</w:t>
            </w:r>
          </w:p>
        </w:tc>
      </w:tr>
      <w:tr w:rsidR="005D498A" w:rsidRPr="00EE0116" w:rsidTr="00FC28C8">
        <w:trPr>
          <w:trHeight w:val="300"/>
        </w:trPr>
        <w:tc>
          <w:tcPr>
            <w:tcW w:w="2700" w:type="dxa"/>
            <w:tcBorders>
              <w:top w:val="nil"/>
              <w:left w:val="nil"/>
              <w:bottom w:val="single" w:sz="4" w:space="0" w:color="FFFFFF"/>
              <w:right w:val="single" w:sz="4" w:space="0" w:color="FFFFFF"/>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Summer Steelhead</w:t>
            </w:r>
          </w:p>
        </w:tc>
        <w:tc>
          <w:tcPr>
            <w:tcW w:w="1364" w:type="dxa"/>
            <w:tcBorders>
              <w:top w:val="nil"/>
              <w:left w:val="nil"/>
              <w:bottom w:val="single" w:sz="4" w:space="0" w:color="FFFFFF"/>
              <w:right w:val="single" w:sz="4" w:space="0" w:color="FFFFFF"/>
            </w:tcBorders>
            <w:shd w:val="clear" w:color="DBE5F1" w:fill="DBE5F1"/>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9</w:t>
            </w:r>
          </w:p>
        </w:tc>
        <w:tc>
          <w:tcPr>
            <w:tcW w:w="1260" w:type="dxa"/>
            <w:tcBorders>
              <w:top w:val="nil"/>
              <w:left w:val="nil"/>
              <w:bottom w:val="single" w:sz="4" w:space="0" w:color="FFFFFF"/>
              <w:right w:val="single" w:sz="4" w:space="0" w:color="FFFFFF"/>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r>
      <w:tr w:rsidR="005D498A" w:rsidRPr="00EE0116" w:rsidTr="00FC28C8">
        <w:trPr>
          <w:trHeight w:val="300"/>
        </w:trPr>
        <w:tc>
          <w:tcPr>
            <w:tcW w:w="2700"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Coho</w:t>
            </w:r>
          </w:p>
        </w:tc>
        <w:tc>
          <w:tcPr>
            <w:tcW w:w="1364"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4</w:t>
            </w:r>
          </w:p>
        </w:tc>
        <w:tc>
          <w:tcPr>
            <w:tcW w:w="1260"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r>
      <w:tr w:rsidR="005D498A" w:rsidRPr="00EE0116" w:rsidTr="00FC28C8">
        <w:trPr>
          <w:trHeight w:val="300"/>
        </w:trPr>
        <w:tc>
          <w:tcPr>
            <w:tcW w:w="2700" w:type="dxa"/>
            <w:tcBorders>
              <w:top w:val="nil"/>
              <w:left w:val="nil"/>
              <w:bottom w:val="single" w:sz="4" w:space="0" w:color="FFFFFF"/>
              <w:right w:val="single" w:sz="4" w:space="0" w:color="FFFFFF"/>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Wild Spring Chinook</w:t>
            </w:r>
          </w:p>
        </w:tc>
        <w:tc>
          <w:tcPr>
            <w:tcW w:w="1364" w:type="dxa"/>
            <w:tcBorders>
              <w:top w:val="nil"/>
              <w:left w:val="nil"/>
              <w:bottom w:val="single" w:sz="4" w:space="0" w:color="FFFFFF"/>
              <w:right w:val="single" w:sz="4" w:space="0" w:color="FFFFFF"/>
            </w:tcBorders>
            <w:shd w:val="clear" w:color="DBE5F1" w:fill="DBE5F1"/>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2</w:t>
            </w:r>
          </w:p>
        </w:tc>
        <w:tc>
          <w:tcPr>
            <w:tcW w:w="1260" w:type="dxa"/>
            <w:tcBorders>
              <w:top w:val="nil"/>
              <w:left w:val="nil"/>
              <w:bottom w:val="single" w:sz="4" w:space="0" w:color="FFFFFF"/>
              <w:right w:val="single" w:sz="4" w:space="0" w:color="FFFFFF"/>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r>
      <w:tr w:rsidR="005D498A" w:rsidRPr="00EE0116" w:rsidTr="00FC28C8">
        <w:trPr>
          <w:trHeight w:val="300"/>
        </w:trPr>
        <w:tc>
          <w:tcPr>
            <w:tcW w:w="2700"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Spring Chinook</w:t>
            </w:r>
          </w:p>
        </w:tc>
        <w:tc>
          <w:tcPr>
            <w:tcW w:w="1364"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4</w:t>
            </w:r>
          </w:p>
        </w:tc>
        <w:tc>
          <w:tcPr>
            <w:tcW w:w="1260" w:type="dxa"/>
            <w:tcBorders>
              <w:top w:val="nil"/>
              <w:left w:val="nil"/>
              <w:bottom w:val="single" w:sz="4" w:space="0" w:color="FFFFFF"/>
              <w:right w:val="single" w:sz="4" w:space="0" w:color="FFFFFF"/>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B8CCE4" w:fill="B8CCE4"/>
            <w:noWrap/>
            <w:vAlign w:val="bottom"/>
            <w:hideMark/>
          </w:tcPr>
          <w:p w:rsidR="005D498A" w:rsidRPr="00EE0116" w:rsidRDefault="005D498A" w:rsidP="00FC28C8">
            <w:pPr>
              <w:spacing w:after="0" w:line="240" w:lineRule="auto"/>
              <w:rPr>
                <w:rFonts w:ascii="Calibri" w:eastAsia="Times New Roman" w:hAnsi="Calibri" w:cs="Times New Roman"/>
                <w:color w:val="000000"/>
              </w:rPr>
            </w:pPr>
          </w:p>
        </w:tc>
      </w:tr>
      <w:tr w:rsidR="005D498A" w:rsidRPr="00EE0116" w:rsidTr="00FC28C8">
        <w:trPr>
          <w:trHeight w:val="300"/>
        </w:trPr>
        <w:tc>
          <w:tcPr>
            <w:tcW w:w="2700" w:type="dxa"/>
            <w:tcBorders>
              <w:top w:val="nil"/>
              <w:left w:val="nil"/>
              <w:bottom w:val="nil"/>
              <w:right w:val="single" w:sz="4" w:space="0" w:color="FFFFFF"/>
            </w:tcBorders>
            <w:shd w:val="clear" w:color="DBE5F1" w:fill="DBE5F1"/>
            <w:noWrap/>
            <w:vAlign w:val="bottom"/>
            <w:hideMark/>
          </w:tcPr>
          <w:p w:rsidR="005D498A" w:rsidRPr="00EE0116" w:rsidRDefault="005D498A" w:rsidP="00FC28C8">
            <w:pPr>
              <w:spacing w:after="0" w:line="240" w:lineRule="auto"/>
              <w:rPr>
                <w:rFonts w:ascii="Calibri" w:eastAsia="Times New Roman" w:hAnsi="Calibri" w:cs="Times New Roman"/>
                <w:b/>
                <w:color w:val="000000"/>
              </w:rPr>
            </w:pPr>
            <w:r w:rsidRPr="00EE0116">
              <w:rPr>
                <w:rFonts w:ascii="Calibri" w:eastAsia="Times New Roman" w:hAnsi="Calibri" w:cs="Times New Roman"/>
                <w:b/>
                <w:color w:val="000000"/>
              </w:rPr>
              <w:t>Total</w:t>
            </w:r>
          </w:p>
        </w:tc>
        <w:tc>
          <w:tcPr>
            <w:tcW w:w="1364" w:type="dxa"/>
            <w:tcBorders>
              <w:top w:val="nil"/>
              <w:left w:val="nil"/>
              <w:bottom w:val="nil"/>
              <w:right w:val="single" w:sz="4" w:space="0" w:color="FFFFFF"/>
            </w:tcBorders>
            <w:shd w:val="clear" w:color="DBE5F1" w:fill="DBE5F1"/>
            <w:noWrap/>
            <w:vAlign w:val="bottom"/>
            <w:hideMark/>
          </w:tcPr>
          <w:p w:rsidR="005D498A" w:rsidRPr="00EE0116" w:rsidRDefault="005D498A" w:rsidP="00FC28C8">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30</w:t>
            </w:r>
          </w:p>
        </w:tc>
        <w:tc>
          <w:tcPr>
            <w:tcW w:w="1260" w:type="dxa"/>
            <w:tcBorders>
              <w:top w:val="nil"/>
              <w:left w:val="nil"/>
              <w:bottom w:val="nil"/>
              <w:right w:val="single" w:sz="4" w:space="0" w:color="FFFFFF"/>
            </w:tcBorders>
            <w:shd w:val="clear" w:color="DBE5F1" w:fill="DBE5F1"/>
            <w:noWrap/>
            <w:vAlign w:val="bottom"/>
            <w:hideMark/>
          </w:tcPr>
          <w:p w:rsidR="005D498A" w:rsidRPr="00EE0116" w:rsidRDefault="005D498A" w:rsidP="00FC28C8">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2</w:t>
            </w:r>
          </w:p>
        </w:tc>
        <w:tc>
          <w:tcPr>
            <w:tcW w:w="1170" w:type="dxa"/>
            <w:tcBorders>
              <w:top w:val="nil"/>
              <w:left w:val="nil"/>
              <w:bottom w:val="nil"/>
              <w:right w:val="nil"/>
            </w:tcBorders>
            <w:shd w:val="clear" w:color="DBE5F1" w:fill="DBE5F1"/>
            <w:noWrap/>
            <w:vAlign w:val="bottom"/>
            <w:hideMark/>
          </w:tcPr>
          <w:p w:rsidR="005D498A" w:rsidRPr="00EE0116" w:rsidRDefault="005D498A" w:rsidP="00FC28C8">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1</w:t>
            </w:r>
          </w:p>
        </w:tc>
      </w:tr>
    </w:tbl>
    <w:p w:rsidR="005D498A" w:rsidRPr="009A7786" w:rsidRDefault="005D498A" w:rsidP="005D498A">
      <w:pPr>
        <w:ind w:firstLine="720"/>
      </w:pPr>
    </w:p>
    <w:p w:rsidR="003912C9" w:rsidRDefault="003912C9" w:rsidP="005D498A">
      <w:pPr>
        <w:rPr>
          <w:b/>
        </w:rPr>
      </w:pPr>
    </w:p>
    <w:p w:rsidR="003912C9" w:rsidRDefault="003912C9" w:rsidP="005D498A">
      <w:pPr>
        <w:rPr>
          <w:b/>
        </w:rPr>
      </w:pPr>
    </w:p>
    <w:p w:rsidR="005D498A" w:rsidRDefault="005D498A" w:rsidP="005D498A">
      <w:r>
        <w:rPr>
          <w:b/>
        </w:rPr>
        <w:t>Conclusion/Recommendations</w:t>
      </w:r>
    </w:p>
    <w:p w:rsidR="00387068" w:rsidRDefault="005D498A" w:rsidP="003912C9">
      <w:pPr>
        <w:ind w:firstLine="720"/>
      </w:pPr>
      <w:r>
        <w:t xml:space="preserve">Data from the fish array at Merry Canyon indicates the Baumann project is meeting the goal of opening up historical fish habitat to wild summer steelhead (Table </w:t>
      </w:r>
      <w:r w:rsidR="003912C9">
        <w:t>2</w:t>
      </w:r>
      <w:r>
        <w:t xml:space="preserve">). The bridge is structurally sound with no observed changes since post-construction in 2012. No bank erosion or sediment deposition was observed. Calculated plant survival was </w:t>
      </w:r>
      <w:r w:rsidR="003912C9">
        <w:t>93</w:t>
      </w:r>
      <w:r>
        <w:t xml:space="preserve"> percent, site shrub cover averaged </w:t>
      </w:r>
      <w:r w:rsidR="003912C9">
        <w:t>23</w:t>
      </w:r>
      <w:r>
        <w:t xml:space="preserve"> percent, and sedge </w:t>
      </w:r>
      <w:r w:rsidR="00BA5F0F">
        <w:t>mat</w:t>
      </w:r>
      <w:r>
        <w:t xml:space="preserve"> cover ranged from </w:t>
      </w:r>
      <w:r w:rsidR="00BA5F0F">
        <w:t>70-100</w:t>
      </w:r>
      <w:r>
        <w:t xml:space="preserve"> percent. </w:t>
      </w:r>
      <w:r w:rsidR="00BA5F0F">
        <w:t>Installed plants exhibit significant growth site wide.</w:t>
      </w:r>
    </w:p>
    <w:p w:rsidR="00BA5F0F" w:rsidRDefault="009021DF" w:rsidP="003912C9">
      <w:pPr>
        <w:ind w:firstLine="720"/>
      </w:pPr>
      <w:r>
        <w:t xml:space="preserve">Native shrub cover should be reassessed in 3-5 years before planting. </w:t>
      </w:r>
      <w:r w:rsidR="00BA5F0F">
        <w:t xml:space="preserve"> </w:t>
      </w:r>
      <w:r>
        <w:t xml:space="preserve">Considered actions should be additional shrubs in the bare spot in the SW quadrant, and additional </w:t>
      </w:r>
      <w:r w:rsidR="00BA5F0F">
        <w:t xml:space="preserve">willow cuttings near the bank </w:t>
      </w:r>
      <w:r>
        <w:t xml:space="preserve">would </w:t>
      </w:r>
      <w:r w:rsidR="00BA5F0F">
        <w:t>to provide</w:t>
      </w:r>
      <w:r>
        <w:t xml:space="preserve"> stream</w:t>
      </w:r>
      <w:r w:rsidR="004F6A1F">
        <w:t xml:space="preserve"> shade and fish cover. Changes to native and invasive species riparian cover, bridge integrity, and fish passage should continue to be monitored.  </w:t>
      </w:r>
    </w:p>
    <w:sectPr w:rsidR="00BA5F0F" w:rsidSect="004C30F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A1F" w:rsidRDefault="004F6A1F" w:rsidP="004F6A1F">
      <w:pPr>
        <w:spacing w:after="0" w:line="240" w:lineRule="auto"/>
      </w:pPr>
      <w:r>
        <w:separator/>
      </w:r>
    </w:p>
  </w:endnote>
  <w:endnote w:type="continuationSeparator" w:id="0">
    <w:p w:rsidR="004F6A1F" w:rsidRDefault="004F6A1F" w:rsidP="004F6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A1F" w:rsidRDefault="004F6A1F" w:rsidP="004F6A1F">
      <w:pPr>
        <w:spacing w:after="0" w:line="240" w:lineRule="auto"/>
      </w:pPr>
      <w:r>
        <w:separator/>
      </w:r>
    </w:p>
  </w:footnote>
  <w:footnote w:type="continuationSeparator" w:id="0">
    <w:p w:rsidR="004F6A1F" w:rsidRDefault="004F6A1F" w:rsidP="004F6A1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C16E69"/>
    <w:rsid w:val="00142D56"/>
    <w:rsid w:val="003912C9"/>
    <w:rsid w:val="004C30FF"/>
    <w:rsid w:val="004F6A1F"/>
    <w:rsid w:val="0057342E"/>
    <w:rsid w:val="005D498A"/>
    <w:rsid w:val="008D55A2"/>
    <w:rsid w:val="009021DF"/>
    <w:rsid w:val="00A75D13"/>
    <w:rsid w:val="00BA5F0F"/>
    <w:rsid w:val="00C16E69"/>
    <w:rsid w:val="00D13E47"/>
    <w:rsid w:val="00F12BA2"/>
    <w:rsid w:val="00F90FA5"/>
    <w:rsid w:val="00F97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0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5A2"/>
    <w:rPr>
      <w:rFonts w:ascii="Tahoma" w:hAnsi="Tahoma" w:cs="Tahoma"/>
      <w:sz w:val="16"/>
      <w:szCs w:val="16"/>
    </w:rPr>
  </w:style>
  <w:style w:type="paragraph" w:styleId="Header">
    <w:name w:val="header"/>
    <w:basedOn w:val="Normal"/>
    <w:link w:val="HeaderChar"/>
    <w:uiPriority w:val="99"/>
    <w:semiHidden/>
    <w:unhideWhenUsed/>
    <w:rsid w:val="004F6A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6A1F"/>
  </w:style>
  <w:style w:type="paragraph" w:styleId="Footer">
    <w:name w:val="footer"/>
    <w:basedOn w:val="Normal"/>
    <w:link w:val="FooterChar"/>
    <w:uiPriority w:val="99"/>
    <w:semiHidden/>
    <w:unhideWhenUsed/>
    <w:rsid w:val="004F6A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6A1F"/>
  </w:style>
</w:styles>
</file>

<file path=word/webSettings.xml><?xml version="1.0" encoding="utf-8"?>
<w:webSettings xmlns:r="http://schemas.openxmlformats.org/officeDocument/2006/relationships" xmlns:w="http://schemas.openxmlformats.org/wordprocessingml/2006/main">
  <w:divs>
    <w:div w:id="121700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6</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adrienner</dc:creator>
  <cp:lastModifiedBy>adrienner</cp:lastModifiedBy>
  <cp:revision>1</cp:revision>
  <dcterms:created xsi:type="dcterms:W3CDTF">2014-01-22T19:27:00Z</dcterms:created>
  <dcterms:modified xsi:type="dcterms:W3CDTF">2014-01-22T23:47:00Z</dcterms:modified>
</cp:coreProperties>
</file>